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336C4" w14:textId="397A7D34" w:rsidR="00297D95" w:rsidRDefault="00DF4CA2" w:rsidP="00C679AE">
      <w:pPr>
        <w:pStyle w:val="Heading1"/>
        <w:ind w:left="432" w:hanging="432"/>
      </w:pPr>
      <w:r>
        <w:t xml:space="preserve">ANLAS </w:t>
      </w:r>
      <w:r w:rsidR="00297D95" w:rsidRPr="00E811C8">
        <w:t xml:space="preserve">Stakeholder </w:t>
      </w:r>
      <w:r w:rsidR="00E458DF">
        <w:t xml:space="preserve">and document </w:t>
      </w:r>
      <w:r w:rsidR="0004640E">
        <w:t>mapping table</w:t>
      </w:r>
      <w:r w:rsidR="00E458DF">
        <w:t>s</w:t>
      </w:r>
    </w:p>
    <w:p w14:paraId="2D578254" w14:textId="5983472B" w:rsidR="00E458DF" w:rsidRPr="007F3925" w:rsidRDefault="00E458DF" w:rsidP="00E458DF">
      <w:pPr>
        <w:pStyle w:val="bodyfullout"/>
        <w:spacing w:before="120"/>
        <w:ind w:right="-329"/>
        <w:rPr>
          <w:i/>
          <w:sz w:val="22"/>
          <w:szCs w:val="22"/>
        </w:rPr>
      </w:pPr>
      <w:r w:rsidRPr="007F3925">
        <w:rPr>
          <w:i/>
          <w:sz w:val="22"/>
          <w:szCs w:val="22"/>
        </w:rPr>
        <w:t>[Instructions for completing the stakeholder and document mapping tables are provided in the ANLAS manual</w:t>
      </w:r>
      <w:r w:rsidR="00835367">
        <w:rPr>
          <w:i/>
          <w:sz w:val="22"/>
          <w:szCs w:val="22"/>
        </w:rPr>
        <w:t xml:space="preserve"> </w:t>
      </w:r>
      <w:r w:rsidR="00835367" w:rsidRPr="006C0129">
        <w:rPr>
          <w:i/>
          <w:sz w:val="21"/>
          <w:szCs w:val="21"/>
        </w:rPr>
        <w:t xml:space="preserve">(see </w:t>
      </w:r>
      <w:r w:rsidR="00835367">
        <w:rPr>
          <w:i/>
          <w:sz w:val="21"/>
          <w:szCs w:val="21"/>
        </w:rPr>
        <w:t>sections</w:t>
      </w:r>
      <w:r w:rsidR="00835367" w:rsidRPr="006C0129">
        <w:rPr>
          <w:i/>
          <w:sz w:val="21"/>
          <w:szCs w:val="21"/>
        </w:rPr>
        <w:t xml:space="preserve"> </w:t>
      </w:r>
      <w:r w:rsidR="00835367">
        <w:rPr>
          <w:i/>
          <w:sz w:val="21"/>
          <w:szCs w:val="21"/>
        </w:rPr>
        <w:t>4.1</w:t>
      </w:r>
      <w:r w:rsidR="00835367">
        <w:rPr>
          <w:i/>
          <w:sz w:val="21"/>
          <w:szCs w:val="21"/>
        </w:rPr>
        <w:t xml:space="preserve"> and 4.</w:t>
      </w:r>
      <w:r w:rsidR="00835367">
        <w:rPr>
          <w:i/>
          <w:sz w:val="21"/>
          <w:szCs w:val="21"/>
        </w:rPr>
        <w:t>2</w:t>
      </w:r>
      <w:r w:rsidR="00835367" w:rsidRPr="006C0129">
        <w:rPr>
          <w:i/>
          <w:sz w:val="21"/>
          <w:szCs w:val="21"/>
        </w:rPr>
        <w:t>)</w:t>
      </w:r>
      <w:r w:rsidRPr="007F3925">
        <w:rPr>
          <w:i/>
          <w:sz w:val="22"/>
          <w:szCs w:val="22"/>
        </w:rPr>
        <w:t xml:space="preserve">. </w:t>
      </w:r>
      <w:r w:rsidR="00BA5908" w:rsidRPr="007F3925">
        <w:rPr>
          <w:i/>
          <w:sz w:val="22"/>
          <w:szCs w:val="22"/>
        </w:rPr>
        <w:t>N</w:t>
      </w:r>
      <w:r w:rsidR="00857A98" w:rsidRPr="007F3925">
        <w:rPr>
          <w:i/>
          <w:sz w:val="22"/>
          <w:szCs w:val="22"/>
        </w:rPr>
        <w:t>ew row</w:t>
      </w:r>
      <w:r w:rsidR="00F24A06" w:rsidRPr="007F3925">
        <w:rPr>
          <w:i/>
          <w:sz w:val="22"/>
          <w:szCs w:val="22"/>
        </w:rPr>
        <w:t>s can be added</w:t>
      </w:r>
      <w:r w:rsidR="00857A98" w:rsidRPr="007F3925">
        <w:rPr>
          <w:i/>
          <w:sz w:val="22"/>
          <w:szCs w:val="22"/>
        </w:rPr>
        <w:t xml:space="preserve"> </w:t>
      </w:r>
      <w:r w:rsidR="00BA5908" w:rsidRPr="007F3925">
        <w:rPr>
          <w:i/>
          <w:sz w:val="22"/>
          <w:szCs w:val="22"/>
        </w:rPr>
        <w:t>as needed, for example</w:t>
      </w:r>
      <w:r w:rsidR="00302D56">
        <w:rPr>
          <w:i/>
          <w:sz w:val="22"/>
          <w:szCs w:val="22"/>
        </w:rPr>
        <w:t>,</w:t>
      </w:r>
      <w:r w:rsidR="00BA5908" w:rsidRPr="007F3925">
        <w:rPr>
          <w:i/>
          <w:sz w:val="22"/>
          <w:szCs w:val="22"/>
        </w:rPr>
        <w:t xml:space="preserve"> to </w:t>
      </w:r>
      <w:r w:rsidR="00857A98" w:rsidRPr="007F3925">
        <w:rPr>
          <w:i/>
          <w:sz w:val="22"/>
          <w:szCs w:val="22"/>
        </w:rPr>
        <w:t>identify the relevant stakeholders and documents for</w:t>
      </w:r>
      <w:r w:rsidRPr="007F3925">
        <w:rPr>
          <w:i/>
          <w:sz w:val="22"/>
          <w:szCs w:val="22"/>
        </w:rPr>
        <w:t xml:space="preserve"> each large-scale assessment and examination that is include</w:t>
      </w:r>
      <w:bookmarkStart w:id="0" w:name="_GoBack"/>
      <w:bookmarkEnd w:id="0"/>
      <w:r w:rsidRPr="007F3925">
        <w:rPr>
          <w:i/>
          <w:sz w:val="22"/>
          <w:szCs w:val="22"/>
        </w:rPr>
        <w:t>d in the analysis.]</w:t>
      </w:r>
    </w:p>
    <w:p w14:paraId="3B7697BB" w14:textId="6E50CB25" w:rsidR="00E458DF" w:rsidRPr="00E811C8" w:rsidRDefault="00E458DF" w:rsidP="00E458DF">
      <w:pPr>
        <w:pStyle w:val="Heading2"/>
        <w:ind w:left="578" w:hanging="578"/>
      </w:pPr>
      <w:r>
        <w:t xml:space="preserve">Stakeholder mapping </w:t>
      </w:r>
      <w:r>
        <w:rPr>
          <w:lang w:eastAsia="en-AU"/>
        </w:rPr>
        <w:t>table</w:t>
      </w:r>
    </w:p>
    <w:tbl>
      <w:tblPr>
        <w:tblStyle w:val="TableGrid"/>
        <w:tblW w:w="47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983"/>
        <w:gridCol w:w="1559"/>
        <w:gridCol w:w="5247"/>
        <w:gridCol w:w="4535"/>
      </w:tblGrid>
      <w:tr w:rsidR="00EE1582" w:rsidRPr="00DC5464" w14:paraId="2929C554" w14:textId="14019E3B" w:rsidTr="007F3925">
        <w:trPr>
          <w:trHeight w:val="227"/>
          <w:tblHeader/>
        </w:trPr>
        <w:tc>
          <w:tcPr>
            <w:tcW w:w="744" w:type="pct"/>
            <w:tcBorders>
              <w:top w:val="thinThickSmallGap" w:sz="24" w:space="0" w:color="803F91"/>
              <w:bottom w:val="single" w:sz="4" w:space="0" w:color="803F91"/>
            </w:tcBorders>
            <w:shd w:val="clear" w:color="auto" w:fill="F2F2F2" w:themeFill="background1" w:themeFillShade="F2"/>
            <w:vAlign w:val="center"/>
          </w:tcPr>
          <w:p w14:paraId="3AB8D219" w14:textId="77777777" w:rsidR="00EE1582" w:rsidRPr="00DC5464" w:rsidRDefault="00EE1582" w:rsidP="00DC5464">
            <w:pPr>
              <w:tabs>
                <w:tab w:val="left" w:pos="1031"/>
              </w:tabs>
              <w:spacing w:before="80" w:after="80"/>
              <w:ind w:right="176"/>
              <w:rPr>
                <w:rFonts w:asciiTheme="minorHAnsi" w:hAnsiTheme="minorHAnsi"/>
                <w:b/>
                <w:color w:val="803F91"/>
                <w:sz w:val="21"/>
                <w:szCs w:val="21"/>
                <w:lang w:eastAsia="en-AU"/>
              </w:rPr>
            </w:pPr>
            <w:r w:rsidRPr="00DC5464">
              <w:rPr>
                <w:rFonts w:asciiTheme="minorHAnsi" w:hAnsiTheme="minorHAnsi"/>
                <w:b/>
                <w:color w:val="803F91"/>
                <w:sz w:val="21"/>
                <w:szCs w:val="21"/>
                <w:lang w:eastAsia="en-AU"/>
              </w:rPr>
              <w:t>Dimension</w:t>
            </w:r>
          </w:p>
        </w:tc>
        <w:tc>
          <w:tcPr>
            <w:tcW w:w="585" w:type="pct"/>
            <w:tcBorders>
              <w:top w:val="thinThickSmallGap" w:sz="24" w:space="0" w:color="803F91"/>
              <w:bottom w:val="single" w:sz="4" w:space="0" w:color="803F91"/>
            </w:tcBorders>
            <w:shd w:val="clear" w:color="auto" w:fill="F2F2F2" w:themeFill="background1" w:themeFillShade="F2"/>
            <w:vAlign w:val="center"/>
          </w:tcPr>
          <w:p w14:paraId="5F60DB34" w14:textId="6A972DDF" w:rsidR="00EE1582" w:rsidRPr="00DC5464" w:rsidRDefault="00EE1582" w:rsidP="00DC5464">
            <w:pPr>
              <w:tabs>
                <w:tab w:val="left" w:pos="1031"/>
              </w:tabs>
              <w:spacing w:before="80" w:after="80"/>
              <w:ind w:right="176"/>
              <w:rPr>
                <w:rFonts w:asciiTheme="minorHAnsi" w:hAnsiTheme="minorHAnsi"/>
                <w:b/>
                <w:color w:val="803F91"/>
                <w:sz w:val="21"/>
                <w:szCs w:val="21"/>
                <w:lang w:eastAsia="en-AU"/>
              </w:rPr>
            </w:pPr>
            <w:r w:rsidRPr="00DC5464">
              <w:rPr>
                <w:rFonts w:asciiTheme="minorHAnsi" w:hAnsiTheme="minorHAnsi"/>
                <w:b/>
                <w:color w:val="803F91"/>
                <w:sz w:val="21"/>
                <w:szCs w:val="21"/>
                <w:lang w:eastAsia="en-AU"/>
              </w:rPr>
              <w:t>Level</w:t>
            </w:r>
          </w:p>
        </w:tc>
        <w:tc>
          <w:tcPr>
            <w:tcW w:w="1969" w:type="pct"/>
            <w:tcBorders>
              <w:top w:val="thinThickSmallGap" w:sz="24" w:space="0" w:color="803F91"/>
              <w:bottom w:val="single" w:sz="4" w:space="0" w:color="803F91"/>
            </w:tcBorders>
            <w:shd w:val="clear" w:color="auto" w:fill="F2F2F2" w:themeFill="background1" w:themeFillShade="F2"/>
            <w:vAlign w:val="center"/>
          </w:tcPr>
          <w:p w14:paraId="21C636BB" w14:textId="34BF3194" w:rsidR="00EE1582" w:rsidRPr="00DC5464" w:rsidRDefault="00C718E7" w:rsidP="00DC5464">
            <w:pPr>
              <w:tabs>
                <w:tab w:val="left" w:pos="1031"/>
              </w:tabs>
              <w:spacing w:before="80" w:after="80"/>
              <w:ind w:right="176"/>
              <w:rPr>
                <w:rFonts w:asciiTheme="minorHAnsi" w:hAnsiTheme="minorHAnsi"/>
                <w:b/>
                <w:color w:val="803F91"/>
                <w:sz w:val="21"/>
                <w:szCs w:val="21"/>
                <w:lang w:eastAsia="en-AU"/>
              </w:rPr>
            </w:pPr>
            <w:r w:rsidRPr="00DC5464">
              <w:rPr>
                <w:rFonts w:asciiTheme="minorHAnsi" w:hAnsiTheme="minorHAnsi"/>
                <w:b/>
                <w:color w:val="803F91"/>
                <w:sz w:val="21"/>
                <w:szCs w:val="21"/>
                <w:lang w:eastAsia="en-AU"/>
              </w:rPr>
              <w:t>Key s</w:t>
            </w:r>
            <w:r w:rsidR="00EE1582" w:rsidRPr="00DC5464">
              <w:rPr>
                <w:rFonts w:asciiTheme="minorHAnsi" w:hAnsiTheme="minorHAnsi"/>
                <w:b/>
                <w:color w:val="803F91"/>
                <w:sz w:val="21"/>
                <w:szCs w:val="21"/>
                <w:lang w:eastAsia="en-AU"/>
              </w:rPr>
              <w:t>takeholder group</w:t>
            </w:r>
            <w:r w:rsidRPr="00DC5464">
              <w:rPr>
                <w:rFonts w:asciiTheme="minorHAnsi" w:hAnsiTheme="minorHAnsi"/>
                <w:b/>
                <w:color w:val="803F91"/>
                <w:sz w:val="21"/>
                <w:szCs w:val="21"/>
                <w:lang w:eastAsia="en-AU"/>
              </w:rPr>
              <w:t>s</w:t>
            </w:r>
          </w:p>
        </w:tc>
        <w:tc>
          <w:tcPr>
            <w:tcW w:w="1702" w:type="pct"/>
            <w:tcBorders>
              <w:top w:val="thinThickSmallGap" w:sz="24" w:space="0" w:color="803F91"/>
              <w:bottom w:val="single" w:sz="4" w:space="0" w:color="803F91"/>
            </w:tcBorders>
            <w:shd w:val="clear" w:color="auto" w:fill="F2F2F2" w:themeFill="background1" w:themeFillShade="F2"/>
            <w:vAlign w:val="center"/>
          </w:tcPr>
          <w:p w14:paraId="1D1FEA65" w14:textId="38F1AD6C" w:rsidR="00EE1582" w:rsidRPr="00DC5464" w:rsidRDefault="00EE1582" w:rsidP="00DC5464">
            <w:pPr>
              <w:tabs>
                <w:tab w:val="left" w:pos="1031"/>
              </w:tabs>
              <w:spacing w:before="80" w:after="80"/>
              <w:ind w:right="176"/>
              <w:rPr>
                <w:rFonts w:asciiTheme="minorHAnsi" w:hAnsiTheme="minorHAnsi"/>
                <w:b/>
                <w:color w:val="803F91"/>
                <w:sz w:val="21"/>
                <w:szCs w:val="21"/>
                <w:lang w:eastAsia="en-AU"/>
              </w:rPr>
            </w:pPr>
            <w:r w:rsidRPr="00DC5464">
              <w:rPr>
                <w:rFonts w:asciiTheme="minorHAnsi" w:hAnsiTheme="minorHAnsi"/>
                <w:b/>
                <w:color w:val="803F91"/>
                <w:sz w:val="21"/>
                <w:szCs w:val="21"/>
                <w:lang w:eastAsia="en-AU"/>
              </w:rPr>
              <w:t>Key stakeholders identified</w:t>
            </w:r>
            <w:r w:rsidRPr="00DC5464">
              <w:rPr>
                <w:rFonts w:asciiTheme="minorHAnsi" w:hAnsiTheme="minorHAnsi"/>
                <w:b/>
                <w:color w:val="803F91"/>
                <w:sz w:val="21"/>
                <w:szCs w:val="21"/>
                <w:lang w:eastAsia="en-AU"/>
              </w:rPr>
              <w:br/>
            </w:r>
            <w:r w:rsidR="00BA5908" w:rsidRPr="00DC5464">
              <w:rPr>
                <w:rFonts w:asciiTheme="minorHAnsi" w:hAnsiTheme="minorHAnsi"/>
                <w:i/>
                <w:color w:val="803F91"/>
                <w:sz w:val="21"/>
                <w:szCs w:val="21"/>
                <w:lang w:eastAsia="en-AU"/>
              </w:rPr>
              <w:t>[For national team to complete]</w:t>
            </w:r>
          </w:p>
        </w:tc>
      </w:tr>
      <w:tr w:rsidR="00EE1582" w:rsidRPr="00DC5464" w14:paraId="56DDFCF1" w14:textId="6C6FD791" w:rsidTr="00EE1582">
        <w:tc>
          <w:tcPr>
            <w:tcW w:w="744" w:type="pct"/>
            <w:tcBorders>
              <w:top w:val="single" w:sz="4" w:space="0" w:color="D9D9D9" w:themeColor="background1" w:themeShade="D9"/>
              <w:bottom w:val="single" w:sz="4" w:space="0" w:color="D9D9D9" w:themeColor="background1" w:themeShade="D9"/>
              <w:right w:val="single" w:sz="4" w:space="0" w:color="BFBFBF"/>
            </w:tcBorders>
            <w:shd w:val="clear" w:color="auto" w:fill="F2F2F2" w:themeFill="background1" w:themeFillShade="F2"/>
          </w:tcPr>
          <w:p w14:paraId="4283DE5D" w14:textId="61824203" w:rsidR="00EE1582" w:rsidRPr="00DC5464" w:rsidRDefault="00EC0263" w:rsidP="00DC5464">
            <w:pPr>
              <w:widowControl/>
              <w:tabs>
                <w:tab w:val="left" w:pos="318"/>
              </w:tabs>
              <w:autoSpaceDE/>
              <w:autoSpaceDN/>
              <w:spacing w:before="80" w:after="80"/>
              <w:rPr>
                <w:rFonts w:asciiTheme="minorHAnsi" w:hAnsiTheme="minorHAnsi"/>
                <w:sz w:val="21"/>
                <w:szCs w:val="21"/>
              </w:rPr>
            </w:pPr>
            <w:r>
              <w:rPr>
                <w:rFonts w:asciiTheme="minorHAnsi" w:hAnsiTheme="minorHAnsi"/>
                <w:sz w:val="21"/>
                <w:szCs w:val="21"/>
              </w:rPr>
              <w:t>1</w:t>
            </w:r>
            <w:r w:rsidR="00697DF1">
              <w:rPr>
                <w:rFonts w:asciiTheme="minorHAnsi" w:hAnsiTheme="minorHAnsi"/>
                <w:sz w:val="21"/>
                <w:szCs w:val="21"/>
              </w:rPr>
              <w:t>.</w:t>
            </w:r>
            <w:r w:rsidR="00EE1582" w:rsidRPr="00DC5464">
              <w:rPr>
                <w:rFonts w:asciiTheme="minorHAnsi" w:hAnsiTheme="minorHAnsi"/>
                <w:sz w:val="21"/>
                <w:szCs w:val="21"/>
              </w:rPr>
              <w:t xml:space="preserve"> Context of the assessment system</w:t>
            </w:r>
            <w:r>
              <w:rPr>
                <w:rFonts w:asciiTheme="minorHAnsi" w:hAnsiTheme="minorHAnsi"/>
                <w:sz w:val="21"/>
                <w:szCs w:val="21"/>
              </w:rPr>
              <w:t xml:space="preserve"> (CN)</w:t>
            </w:r>
          </w:p>
        </w:tc>
        <w:tc>
          <w:tcPr>
            <w:tcW w:w="585" w:type="pct"/>
            <w:tcBorders>
              <w:top w:val="single" w:sz="4" w:space="0" w:color="D9D9D9" w:themeColor="background1" w:themeShade="D9"/>
              <w:left w:val="single" w:sz="4" w:space="0" w:color="BFBFBF"/>
              <w:bottom w:val="single" w:sz="4" w:space="0" w:color="D9D9D9" w:themeColor="background1" w:themeShade="D9"/>
            </w:tcBorders>
          </w:tcPr>
          <w:p w14:paraId="57F66E20" w14:textId="77777777" w:rsidR="00EE1582" w:rsidRPr="00DC5464" w:rsidRDefault="00EE1582" w:rsidP="00DC5464">
            <w:pPr>
              <w:tabs>
                <w:tab w:val="left" w:pos="33"/>
                <w:tab w:val="left" w:pos="459"/>
              </w:tabs>
              <w:spacing w:before="80" w:after="80"/>
              <w:ind w:left="33"/>
              <w:rPr>
                <w:sz w:val="21"/>
                <w:szCs w:val="21"/>
              </w:rPr>
            </w:pPr>
            <w:r w:rsidRPr="00DC5464">
              <w:rPr>
                <w:sz w:val="21"/>
                <w:szCs w:val="21"/>
              </w:rPr>
              <w:t>System level</w:t>
            </w:r>
          </w:p>
        </w:tc>
        <w:tc>
          <w:tcPr>
            <w:tcW w:w="1969" w:type="pct"/>
            <w:tcBorders>
              <w:top w:val="single" w:sz="4" w:space="0" w:color="D9D9D9" w:themeColor="background1" w:themeShade="D9"/>
              <w:left w:val="single" w:sz="4" w:space="0" w:color="BFBFBF"/>
              <w:bottom w:val="single" w:sz="4" w:space="0" w:color="D9D9D9" w:themeColor="background1" w:themeShade="D9"/>
            </w:tcBorders>
          </w:tcPr>
          <w:p w14:paraId="23EBA163" w14:textId="05F56EF2" w:rsidR="00EE1582" w:rsidRPr="00DC5464" w:rsidRDefault="00EE1582" w:rsidP="00DC5464">
            <w:pPr>
              <w:pStyle w:val="ListParagraph"/>
              <w:numPr>
                <w:ilvl w:val="0"/>
                <w:numId w:val="14"/>
              </w:numPr>
              <w:tabs>
                <w:tab w:val="clear" w:pos="818"/>
                <w:tab w:val="clear" w:pos="819"/>
              </w:tabs>
              <w:spacing w:before="80" w:after="80"/>
              <w:ind w:left="319" w:right="113" w:hanging="319"/>
              <w:rPr>
                <w:rFonts w:asciiTheme="minorHAnsi" w:hAnsiTheme="minorHAnsi"/>
                <w:iCs/>
                <w:sz w:val="21"/>
                <w:szCs w:val="21"/>
              </w:rPr>
            </w:pPr>
            <w:r w:rsidRPr="00DC5464">
              <w:rPr>
                <w:rFonts w:asciiTheme="minorHAnsi" w:hAnsiTheme="minorHAnsi"/>
                <w:iCs/>
                <w:sz w:val="21"/>
                <w:szCs w:val="21"/>
              </w:rPr>
              <w:t>Senior representatives from relevant national government units</w:t>
            </w:r>
            <w:r w:rsidR="005520C6">
              <w:rPr>
                <w:rFonts w:asciiTheme="minorHAnsi" w:hAnsiTheme="minorHAnsi"/>
                <w:iCs/>
                <w:sz w:val="21"/>
                <w:szCs w:val="21"/>
              </w:rPr>
              <w:t>, for example</w:t>
            </w:r>
            <w:r w:rsidRPr="00DC5464">
              <w:rPr>
                <w:rFonts w:asciiTheme="minorHAnsi" w:hAnsiTheme="minorHAnsi"/>
                <w:iCs/>
                <w:sz w:val="21"/>
                <w:szCs w:val="21"/>
              </w:rPr>
              <w:t>:</w:t>
            </w:r>
          </w:p>
          <w:p w14:paraId="445C1840" w14:textId="0F25199B" w:rsidR="00EE1582" w:rsidRPr="00DC5464" w:rsidRDefault="00DC5464" w:rsidP="00DC5464">
            <w:pPr>
              <w:pStyle w:val="sublistbullet"/>
              <w:spacing w:before="80" w:after="80"/>
            </w:pPr>
            <w:r>
              <w:t>P</w:t>
            </w:r>
            <w:r w:rsidR="00EE1582" w:rsidRPr="00DC5464">
              <w:t>olicy and planning</w:t>
            </w:r>
          </w:p>
          <w:p w14:paraId="1C1B2352" w14:textId="3E76C29A" w:rsidR="00EE1582" w:rsidRPr="00DC5464" w:rsidRDefault="00DC5464" w:rsidP="00DC5464">
            <w:pPr>
              <w:pStyle w:val="sublistbullet"/>
              <w:spacing w:before="80" w:after="80"/>
            </w:pPr>
            <w:r>
              <w:t xml:space="preserve">Monitoring and evaluation, assessment, </w:t>
            </w:r>
            <w:r w:rsidR="00EE1582" w:rsidRPr="00DC5464">
              <w:t>examination</w:t>
            </w:r>
          </w:p>
          <w:p w14:paraId="5826D2FC" w14:textId="41127062" w:rsidR="00EE1582" w:rsidRPr="00DC5464" w:rsidRDefault="00DC5464" w:rsidP="00DC5464">
            <w:pPr>
              <w:pStyle w:val="sublistbullet"/>
              <w:spacing w:before="80" w:after="80"/>
            </w:pPr>
            <w:r>
              <w:t>C</w:t>
            </w:r>
            <w:r w:rsidR="00EE1582" w:rsidRPr="00DC5464">
              <w:t>urriculum</w:t>
            </w:r>
          </w:p>
          <w:p w14:paraId="443ACE84" w14:textId="0ECFE171" w:rsidR="00EE1582" w:rsidRPr="00DC5464" w:rsidRDefault="00EE1582" w:rsidP="00DC5464">
            <w:pPr>
              <w:pStyle w:val="ListParagraph"/>
              <w:numPr>
                <w:ilvl w:val="0"/>
                <w:numId w:val="14"/>
              </w:numPr>
              <w:tabs>
                <w:tab w:val="clear" w:pos="818"/>
                <w:tab w:val="clear" w:pos="819"/>
              </w:tabs>
              <w:spacing w:before="80" w:after="80"/>
              <w:ind w:left="319" w:right="113" w:hanging="319"/>
              <w:rPr>
                <w:rFonts w:asciiTheme="minorHAnsi" w:hAnsiTheme="minorHAnsi"/>
                <w:iCs/>
                <w:sz w:val="21"/>
                <w:szCs w:val="21"/>
              </w:rPr>
            </w:pPr>
            <w:r w:rsidRPr="00DC5464">
              <w:rPr>
                <w:rFonts w:asciiTheme="minorHAnsi" w:hAnsiTheme="minorHAnsi"/>
                <w:iCs/>
                <w:sz w:val="21"/>
                <w:szCs w:val="21"/>
              </w:rPr>
              <w:t>Senior representatives from relevant sub-national government units, for example, from local education offices</w:t>
            </w:r>
          </w:p>
          <w:p w14:paraId="219B0BB0" w14:textId="5ABDC30B" w:rsidR="00EE1582" w:rsidRPr="00DC5464" w:rsidRDefault="00EE1582" w:rsidP="00DC5464">
            <w:pPr>
              <w:pStyle w:val="ListParagraph"/>
              <w:numPr>
                <w:ilvl w:val="0"/>
                <w:numId w:val="14"/>
              </w:numPr>
              <w:tabs>
                <w:tab w:val="clear" w:pos="818"/>
                <w:tab w:val="clear" w:pos="819"/>
              </w:tabs>
              <w:spacing w:before="80" w:after="80"/>
              <w:ind w:left="319" w:right="113" w:hanging="319"/>
              <w:rPr>
                <w:rFonts w:asciiTheme="minorHAnsi" w:hAnsiTheme="minorHAnsi"/>
                <w:iCs/>
                <w:sz w:val="21"/>
                <w:szCs w:val="21"/>
              </w:rPr>
            </w:pPr>
            <w:r w:rsidRPr="00DC5464">
              <w:rPr>
                <w:rFonts w:asciiTheme="minorHAnsi" w:hAnsiTheme="minorHAnsi"/>
                <w:iCs/>
                <w:sz w:val="21"/>
                <w:szCs w:val="21"/>
              </w:rPr>
              <w:t>Senior representatives from external agencies with major responsibilities in learning assessment</w:t>
            </w:r>
          </w:p>
        </w:tc>
        <w:tc>
          <w:tcPr>
            <w:tcW w:w="1702" w:type="pct"/>
            <w:tcBorders>
              <w:top w:val="single" w:sz="4" w:space="0" w:color="D9D9D9" w:themeColor="background1" w:themeShade="D9"/>
              <w:left w:val="single" w:sz="4" w:space="0" w:color="BFBFBF"/>
              <w:bottom w:val="single" w:sz="4" w:space="0" w:color="D9D9D9" w:themeColor="background1" w:themeShade="D9"/>
            </w:tcBorders>
          </w:tcPr>
          <w:p w14:paraId="19ADBC55" w14:textId="77777777" w:rsidR="00EE1582" w:rsidRPr="00DC5464" w:rsidRDefault="00EE1582" w:rsidP="00DC5464">
            <w:pPr>
              <w:tabs>
                <w:tab w:val="left" w:pos="33"/>
                <w:tab w:val="left" w:pos="459"/>
              </w:tabs>
              <w:spacing w:before="80" w:after="80"/>
              <w:ind w:left="33"/>
              <w:rPr>
                <w:rFonts w:asciiTheme="minorHAnsi" w:hAnsiTheme="minorHAnsi"/>
                <w:iCs/>
                <w:sz w:val="21"/>
                <w:szCs w:val="21"/>
              </w:rPr>
            </w:pPr>
          </w:p>
        </w:tc>
      </w:tr>
      <w:tr w:rsidR="00EE1582" w:rsidRPr="00DC5464" w14:paraId="73A8FF7C" w14:textId="391EB6A9" w:rsidTr="00EE1582">
        <w:tc>
          <w:tcPr>
            <w:tcW w:w="744" w:type="pct"/>
            <w:tcBorders>
              <w:top w:val="single" w:sz="4" w:space="0" w:color="D9D9D9" w:themeColor="background1" w:themeShade="D9"/>
              <w:bottom w:val="single" w:sz="4" w:space="0" w:color="D9D9D9" w:themeColor="background1" w:themeShade="D9"/>
              <w:right w:val="single" w:sz="4" w:space="0" w:color="BFBFBF"/>
            </w:tcBorders>
            <w:shd w:val="clear" w:color="auto" w:fill="F2F2F2" w:themeFill="background1" w:themeFillShade="F2"/>
          </w:tcPr>
          <w:p w14:paraId="1D3D9201" w14:textId="5D2B4CB2" w:rsidR="00EE1582" w:rsidRPr="00DC5464" w:rsidRDefault="00EC0263" w:rsidP="00DC5464">
            <w:pPr>
              <w:widowControl/>
              <w:tabs>
                <w:tab w:val="left" w:pos="318"/>
              </w:tabs>
              <w:autoSpaceDE/>
              <w:autoSpaceDN/>
              <w:spacing w:before="80" w:after="80"/>
              <w:rPr>
                <w:rFonts w:asciiTheme="minorHAnsi" w:hAnsiTheme="minorHAnsi"/>
                <w:sz w:val="21"/>
                <w:szCs w:val="21"/>
              </w:rPr>
            </w:pPr>
            <w:r>
              <w:rPr>
                <w:rFonts w:asciiTheme="minorHAnsi" w:hAnsiTheme="minorHAnsi"/>
                <w:sz w:val="21"/>
                <w:szCs w:val="21"/>
              </w:rPr>
              <w:t>2A</w:t>
            </w:r>
            <w:r w:rsidR="00697DF1">
              <w:rPr>
                <w:rFonts w:asciiTheme="minorHAnsi" w:hAnsiTheme="minorHAnsi"/>
                <w:sz w:val="21"/>
                <w:szCs w:val="21"/>
              </w:rPr>
              <w:t>.</w:t>
            </w:r>
            <w:r>
              <w:rPr>
                <w:rFonts w:asciiTheme="minorHAnsi" w:hAnsiTheme="minorHAnsi"/>
                <w:sz w:val="21"/>
                <w:szCs w:val="21"/>
              </w:rPr>
              <w:t xml:space="preserve"> </w:t>
            </w:r>
            <w:r w:rsidR="00EE1582" w:rsidRPr="00DC5464">
              <w:rPr>
                <w:rFonts w:asciiTheme="minorHAnsi" w:hAnsiTheme="minorHAnsi"/>
                <w:sz w:val="21"/>
                <w:szCs w:val="21"/>
              </w:rPr>
              <w:t xml:space="preserve">Quality of </w:t>
            </w:r>
            <w:r w:rsidR="00BA5908" w:rsidRPr="00DC5464">
              <w:rPr>
                <w:rFonts w:asciiTheme="minorHAnsi" w:hAnsiTheme="minorHAnsi"/>
                <w:sz w:val="21"/>
                <w:szCs w:val="21"/>
              </w:rPr>
              <w:t>large-scale assessment and examination</w:t>
            </w:r>
            <w:r>
              <w:rPr>
                <w:rFonts w:asciiTheme="minorHAnsi" w:hAnsiTheme="minorHAnsi"/>
                <w:sz w:val="21"/>
                <w:szCs w:val="21"/>
              </w:rPr>
              <w:t xml:space="preserve"> (QLE)</w:t>
            </w:r>
          </w:p>
        </w:tc>
        <w:tc>
          <w:tcPr>
            <w:tcW w:w="585" w:type="pct"/>
            <w:tcBorders>
              <w:top w:val="single" w:sz="4" w:space="0" w:color="D9D9D9" w:themeColor="background1" w:themeShade="D9"/>
              <w:left w:val="single" w:sz="4" w:space="0" w:color="BFBFBF"/>
              <w:bottom w:val="single" w:sz="4" w:space="0" w:color="D9D9D9" w:themeColor="background1" w:themeShade="D9"/>
            </w:tcBorders>
          </w:tcPr>
          <w:p w14:paraId="5E16EBC8" w14:textId="77777777" w:rsidR="00EE1582" w:rsidRPr="00DC5464" w:rsidRDefault="00EE1582" w:rsidP="00DC5464">
            <w:pPr>
              <w:tabs>
                <w:tab w:val="left" w:pos="33"/>
                <w:tab w:val="left" w:pos="459"/>
              </w:tabs>
              <w:spacing w:before="80" w:after="80"/>
              <w:ind w:left="33"/>
              <w:rPr>
                <w:sz w:val="21"/>
                <w:szCs w:val="21"/>
              </w:rPr>
            </w:pPr>
            <w:r w:rsidRPr="00DC5464">
              <w:rPr>
                <w:sz w:val="21"/>
                <w:szCs w:val="21"/>
              </w:rPr>
              <w:t>Program level</w:t>
            </w:r>
          </w:p>
        </w:tc>
        <w:tc>
          <w:tcPr>
            <w:tcW w:w="1969" w:type="pct"/>
            <w:tcBorders>
              <w:top w:val="single" w:sz="4" w:space="0" w:color="D9D9D9" w:themeColor="background1" w:themeShade="D9"/>
              <w:left w:val="single" w:sz="4" w:space="0" w:color="BFBFBF"/>
              <w:bottom w:val="single" w:sz="4" w:space="0" w:color="D9D9D9" w:themeColor="background1" w:themeShade="D9"/>
            </w:tcBorders>
          </w:tcPr>
          <w:p w14:paraId="30603312" w14:textId="039CECDC" w:rsidR="00EE1582" w:rsidRPr="00DC5464" w:rsidRDefault="00EE1582" w:rsidP="00DC5464">
            <w:pPr>
              <w:pStyle w:val="ListParagraph"/>
              <w:numPr>
                <w:ilvl w:val="0"/>
                <w:numId w:val="14"/>
              </w:numPr>
              <w:tabs>
                <w:tab w:val="clear" w:pos="818"/>
                <w:tab w:val="clear" w:pos="819"/>
              </w:tabs>
              <w:spacing w:before="80" w:after="80"/>
              <w:ind w:left="318" w:right="113" w:hanging="318"/>
              <w:rPr>
                <w:rFonts w:asciiTheme="minorHAnsi" w:hAnsiTheme="minorHAnsi"/>
                <w:iCs/>
                <w:sz w:val="21"/>
                <w:szCs w:val="21"/>
              </w:rPr>
            </w:pPr>
            <w:r w:rsidRPr="00DC5464">
              <w:rPr>
                <w:rFonts w:asciiTheme="minorHAnsi" w:hAnsiTheme="minorHAnsi"/>
                <w:iCs/>
                <w:sz w:val="21"/>
                <w:szCs w:val="21"/>
              </w:rPr>
              <w:t>Senior government representatives responsible for conducting the large-scale assessment programs and examinations</w:t>
            </w:r>
          </w:p>
          <w:p w14:paraId="75940417" w14:textId="71A5ECDA" w:rsidR="00EE1582" w:rsidRPr="00DC5464" w:rsidRDefault="00EE1582" w:rsidP="00DC5464">
            <w:pPr>
              <w:pStyle w:val="ListParagraph"/>
              <w:numPr>
                <w:ilvl w:val="0"/>
                <w:numId w:val="14"/>
              </w:numPr>
              <w:tabs>
                <w:tab w:val="clear" w:pos="818"/>
                <w:tab w:val="clear" w:pos="819"/>
              </w:tabs>
              <w:spacing w:before="80" w:after="80"/>
              <w:ind w:left="318" w:right="113" w:hanging="318"/>
              <w:rPr>
                <w:rFonts w:asciiTheme="minorHAnsi" w:hAnsiTheme="minorHAnsi"/>
                <w:iCs/>
                <w:sz w:val="21"/>
                <w:szCs w:val="21"/>
              </w:rPr>
            </w:pPr>
            <w:r w:rsidRPr="00DC5464">
              <w:rPr>
                <w:rFonts w:asciiTheme="minorHAnsi" w:hAnsiTheme="minorHAnsi"/>
                <w:iCs/>
                <w:sz w:val="21"/>
                <w:szCs w:val="21"/>
              </w:rPr>
              <w:t>Senior representatives from external assessment agency responsible for conducting the large-scale assessment programs and examinations</w:t>
            </w:r>
          </w:p>
        </w:tc>
        <w:tc>
          <w:tcPr>
            <w:tcW w:w="1702" w:type="pct"/>
            <w:tcBorders>
              <w:top w:val="single" w:sz="4" w:space="0" w:color="D9D9D9" w:themeColor="background1" w:themeShade="D9"/>
              <w:left w:val="single" w:sz="4" w:space="0" w:color="BFBFBF"/>
              <w:bottom w:val="single" w:sz="4" w:space="0" w:color="D9D9D9" w:themeColor="background1" w:themeShade="D9"/>
            </w:tcBorders>
          </w:tcPr>
          <w:p w14:paraId="6A524A8F" w14:textId="77777777" w:rsidR="00EE1582" w:rsidRPr="00DC5464" w:rsidRDefault="00EE1582" w:rsidP="00DC5464">
            <w:pPr>
              <w:tabs>
                <w:tab w:val="left" w:pos="33"/>
                <w:tab w:val="left" w:pos="459"/>
              </w:tabs>
              <w:spacing w:before="80" w:after="80"/>
              <w:ind w:left="33"/>
              <w:rPr>
                <w:sz w:val="21"/>
                <w:szCs w:val="21"/>
              </w:rPr>
            </w:pPr>
          </w:p>
        </w:tc>
      </w:tr>
      <w:tr w:rsidR="00EE1582" w:rsidRPr="00DC5464" w14:paraId="422EB080" w14:textId="72032FA1" w:rsidTr="00EE1582">
        <w:tc>
          <w:tcPr>
            <w:tcW w:w="744" w:type="pct"/>
            <w:tcBorders>
              <w:top w:val="single" w:sz="4" w:space="0" w:color="D9D9D9" w:themeColor="background1" w:themeShade="D9"/>
              <w:bottom w:val="single" w:sz="4" w:space="0" w:color="D9D9D9" w:themeColor="background1" w:themeShade="D9"/>
              <w:right w:val="single" w:sz="4" w:space="0" w:color="BFBFBF"/>
            </w:tcBorders>
            <w:shd w:val="clear" w:color="auto" w:fill="F2F2F2" w:themeFill="background1" w:themeFillShade="F2"/>
          </w:tcPr>
          <w:p w14:paraId="355E3ADF" w14:textId="612A402C" w:rsidR="00EE1582" w:rsidRPr="00DC5464" w:rsidRDefault="00EC0263" w:rsidP="00DC5464">
            <w:pPr>
              <w:widowControl/>
              <w:tabs>
                <w:tab w:val="left" w:pos="318"/>
              </w:tabs>
              <w:autoSpaceDE/>
              <w:autoSpaceDN/>
              <w:spacing w:before="80" w:after="80"/>
              <w:rPr>
                <w:rFonts w:asciiTheme="minorHAnsi" w:hAnsiTheme="minorHAnsi"/>
                <w:sz w:val="21"/>
                <w:szCs w:val="21"/>
              </w:rPr>
            </w:pPr>
            <w:r>
              <w:rPr>
                <w:rFonts w:asciiTheme="minorHAnsi" w:hAnsiTheme="minorHAnsi"/>
                <w:sz w:val="21"/>
                <w:szCs w:val="21"/>
              </w:rPr>
              <w:lastRenderedPageBreak/>
              <w:t>2B</w:t>
            </w:r>
            <w:r w:rsidR="00697DF1">
              <w:rPr>
                <w:rFonts w:asciiTheme="minorHAnsi" w:hAnsiTheme="minorHAnsi"/>
                <w:sz w:val="21"/>
                <w:szCs w:val="21"/>
              </w:rPr>
              <w:t>.</w:t>
            </w:r>
            <w:r>
              <w:rPr>
                <w:rFonts w:asciiTheme="minorHAnsi" w:hAnsiTheme="minorHAnsi"/>
                <w:sz w:val="21"/>
                <w:szCs w:val="21"/>
              </w:rPr>
              <w:t xml:space="preserve"> </w:t>
            </w:r>
            <w:r w:rsidR="00EE1582" w:rsidRPr="00DC5464">
              <w:rPr>
                <w:rFonts w:asciiTheme="minorHAnsi" w:hAnsiTheme="minorHAnsi"/>
                <w:sz w:val="21"/>
                <w:szCs w:val="21"/>
              </w:rPr>
              <w:t xml:space="preserve">Quality of </w:t>
            </w:r>
            <w:r w:rsidR="00BA5908" w:rsidRPr="00DC5464">
              <w:rPr>
                <w:rFonts w:asciiTheme="minorHAnsi" w:hAnsiTheme="minorHAnsi"/>
                <w:sz w:val="21"/>
                <w:szCs w:val="21"/>
              </w:rPr>
              <w:t>c</w:t>
            </w:r>
            <w:r w:rsidR="00EE1582" w:rsidRPr="00DC5464">
              <w:rPr>
                <w:rFonts w:asciiTheme="minorHAnsi" w:hAnsiTheme="minorHAnsi"/>
                <w:sz w:val="21"/>
                <w:szCs w:val="21"/>
              </w:rPr>
              <w:t>lassroom assessment</w:t>
            </w:r>
            <w:r>
              <w:rPr>
                <w:rFonts w:asciiTheme="minorHAnsi" w:hAnsiTheme="minorHAnsi"/>
                <w:sz w:val="21"/>
                <w:szCs w:val="21"/>
              </w:rPr>
              <w:t xml:space="preserve"> (QCA)</w:t>
            </w:r>
          </w:p>
        </w:tc>
        <w:tc>
          <w:tcPr>
            <w:tcW w:w="585" w:type="pct"/>
            <w:tcBorders>
              <w:top w:val="single" w:sz="4" w:space="0" w:color="D9D9D9" w:themeColor="background1" w:themeShade="D9"/>
              <w:left w:val="single" w:sz="4" w:space="0" w:color="BFBFBF"/>
              <w:bottom w:val="single" w:sz="4" w:space="0" w:color="D9D9D9" w:themeColor="background1" w:themeShade="D9"/>
            </w:tcBorders>
          </w:tcPr>
          <w:p w14:paraId="7B055C8B" w14:textId="378B34EE" w:rsidR="00EE1582" w:rsidRPr="00DC5464" w:rsidRDefault="00EE1582" w:rsidP="00DC5464">
            <w:pPr>
              <w:tabs>
                <w:tab w:val="left" w:pos="33"/>
                <w:tab w:val="left" w:pos="459"/>
              </w:tabs>
              <w:spacing w:before="80" w:after="80"/>
              <w:ind w:left="33"/>
              <w:rPr>
                <w:sz w:val="21"/>
                <w:szCs w:val="21"/>
              </w:rPr>
            </w:pPr>
            <w:r w:rsidRPr="00DC5464">
              <w:rPr>
                <w:sz w:val="21"/>
                <w:szCs w:val="21"/>
              </w:rPr>
              <w:t>Program level</w:t>
            </w:r>
          </w:p>
        </w:tc>
        <w:tc>
          <w:tcPr>
            <w:tcW w:w="1969" w:type="pct"/>
            <w:tcBorders>
              <w:top w:val="single" w:sz="4" w:space="0" w:color="D9D9D9" w:themeColor="background1" w:themeShade="D9"/>
              <w:left w:val="single" w:sz="4" w:space="0" w:color="BFBFBF"/>
              <w:bottom w:val="single" w:sz="4" w:space="0" w:color="D9D9D9" w:themeColor="background1" w:themeShade="D9"/>
            </w:tcBorders>
          </w:tcPr>
          <w:p w14:paraId="63B3B360" w14:textId="7B6E4055" w:rsidR="00EE1582" w:rsidRPr="00DC5464" w:rsidRDefault="00EE1582" w:rsidP="00DC5464">
            <w:pPr>
              <w:pStyle w:val="ListParagraph"/>
              <w:numPr>
                <w:ilvl w:val="0"/>
                <w:numId w:val="14"/>
              </w:numPr>
              <w:tabs>
                <w:tab w:val="clear" w:pos="818"/>
                <w:tab w:val="clear" w:pos="819"/>
              </w:tabs>
              <w:spacing w:before="80" w:after="80"/>
              <w:ind w:left="318" w:right="113" w:hanging="318"/>
              <w:rPr>
                <w:rFonts w:asciiTheme="minorHAnsi" w:hAnsiTheme="minorHAnsi"/>
                <w:iCs/>
                <w:sz w:val="21"/>
                <w:szCs w:val="21"/>
              </w:rPr>
            </w:pPr>
            <w:r w:rsidRPr="00DC5464">
              <w:rPr>
                <w:rFonts w:asciiTheme="minorHAnsi" w:hAnsiTheme="minorHAnsi"/>
                <w:iCs/>
                <w:sz w:val="21"/>
                <w:szCs w:val="21"/>
              </w:rPr>
              <w:t>Senior representatives from education and professional development program providers for teachers and school leaders in primary and secondary school education</w:t>
            </w:r>
          </w:p>
          <w:p w14:paraId="29B21FE1" w14:textId="516521B0" w:rsidR="00EE1582" w:rsidRPr="00DC5464" w:rsidRDefault="00EE1582" w:rsidP="00DC5464">
            <w:pPr>
              <w:pStyle w:val="ListParagraph"/>
              <w:numPr>
                <w:ilvl w:val="0"/>
                <w:numId w:val="14"/>
              </w:numPr>
              <w:tabs>
                <w:tab w:val="clear" w:pos="818"/>
                <w:tab w:val="clear" w:pos="819"/>
                <w:tab w:val="left" w:pos="631"/>
              </w:tabs>
              <w:spacing w:before="80" w:after="80"/>
              <w:ind w:left="318" w:right="113" w:hanging="318"/>
              <w:rPr>
                <w:rFonts w:asciiTheme="minorHAnsi" w:hAnsiTheme="minorHAnsi"/>
                <w:iCs/>
                <w:sz w:val="21"/>
                <w:szCs w:val="21"/>
              </w:rPr>
            </w:pPr>
            <w:r w:rsidRPr="00DC5464">
              <w:rPr>
                <w:rFonts w:asciiTheme="minorHAnsi" w:hAnsiTheme="minorHAnsi"/>
                <w:iCs/>
                <w:sz w:val="21"/>
                <w:szCs w:val="21"/>
              </w:rPr>
              <w:t xml:space="preserve">School leader and teacher representatives from different types of schools of primary and secondary school </w:t>
            </w:r>
            <w:r w:rsidR="00DC5464">
              <w:rPr>
                <w:rFonts w:asciiTheme="minorHAnsi" w:hAnsiTheme="minorHAnsi"/>
                <w:iCs/>
                <w:sz w:val="21"/>
                <w:szCs w:val="21"/>
              </w:rPr>
              <w:t>education</w:t>
            </w:r>
          </w:p>
        </w:tc>
        <w:tc>
          <w:tcPr>
            <w:tcW w:w="1702" w:type="pct"/>
            <w:tcBorders>
              <w:top w:val="single" w:sz="4" w:space="0" w:color="D9D9D9" w:themeColor="background1" w:themeShade="D9"/>
              <w:left w:val="single" w:sz="4" w:space="0" w:color="BFBFBF"/>
              <w:bottom w:val="single" w:sz="4" w:space="0" w:color="D9D9D9" w:themeColor="background1" w:themeShade="D9"/>
            </w:tcBorders>
          </w:tcPr>
          <w:p w14:paraId="7F4731F7" w14:textId="77777777" w:rsidR="00EE1582" w:rsidRPr="00DC5464" w:rsidRDefault="00EE1582" w:rsidP="00DC5464">
            <w:pPr>
              <w:tabs>
                <w:tab w:val="left" w:pos="33"/>
                <w:tab w:val="left" w:pos="459"/>
              </w:tabs>
              <w:spacing w:before="80" w:after="80"/>
              <w:ind w:left="33"/>
              <w:rPr>
                <w:sz w:val="21"/>
                <w:szCs w:val="21"/>
              </w:rPr>
            </w:pPr>
          </w:p>
        </w:tc>
      </w:tr>
      <w:tr w:rsidR="00EE1582" w:rsidRPr="00DC5464" w14:paraId="7BAD03A9" w14:textId="6954C1F2" w:rsidTr="00EE1582">
        <w:tc>
          <w:tcPr>
            <w:tcW w:w="744" w:type="pct"/>
            <w:tcBorders>
              <w:top w:val="single" w:sz="4" w:space="0" w:color="D9D9D9" w:themeColor="background1" w:themeShade="D9"/>
              <w:bottom w:val="single" w:sz="4" w:space="0" w:color="D9D9D9" w:themeColor="background1" w:themeShade="D9"/>
              <w:right w:val="single" w:sz="4" w:space="0" w:color="BFBFBF"/>
            </w:tcBorders>
            <w:shd w:val="clear" w:color="auto" w:fill="F2F2F2" w:themeFill="background1" w:themeFillShade="F2"/>
          </w:tcPr>
          <w:p w14:paraId="1435F21F" w14:textId="0C95B392" w:rsidR="00EE1582" w:rsidRPr="00DC5464" w:rsidRDefault="00EC0263" w:rsidP="00DC5464">
            <w:pPr>
              <w:widowControl/>
              <w:tabs>
                <w:tab w:val="left" w:pos="318"/>
              </w:tabs>
              <w:autoSpaceDE/>
              <w:autoSpaceDN/>
              <w:spacing w:before="80" w:after="80"/>
              <w:rPr>
                <w:rFonts w:asciiTheme="minorHAnsi" w:hAnsiTheme="minorHAnsi"/>
                <w:sz w:val="21"/>
                <w:szCs w:val="21"/>
              </w:rPr>
            </w:pPr>
            <w:r>
              <w:rPr>
                <w:rFonts w:asciiTheme="minorHAnsi" w:hAnsiTheme="minorHAnsi"/>
                <w:sz w:val="21"/>
                <w:szCs w:val="21"/>
              </w:rPr>
              <w:t>3</w:t>
            </w:r>
            <w:r w:rsidR="004F35B7">
              <w:rPr>
                <w:rFonts w:asciiTheme="minorHAnsi" w:hAnsiTheme="minorHAnsi"/>
                <w:sz w:val="21"/>
                <w:szCs w:val="21"/>
              </w:rPr>
              <w:t>.</w:t>
            </w:r>
            <w:r w:rsidR="00EE1582" w:rsidRPr="00DC5464">
              <w:rPr>
                <w:rFonts w:asciiTheme="minorHAnsi" w:hAnsiTheme="minorHAnsi"/>
                <w:sz w:val="21"/>
                <w:szCs w:val="21"/>
              </w:rPr>
              <w:t xml:space="preserve"> Coherence of the assessment system</w:t>
            </w:r>
            <w:r>
              <w:rPr>
                <w:rFonts w:asciiTheme="minorHAnsi" w:hAnsiTheme="minorHAnsi"/>
                <w:sz w:val="21"/>
                <w:szCs w:val="21"/>
              </w:rPr>
              <w:t xml:space="preserve"> (CH)</w:t>
            </w:r>
          </w:p>
        </w:tc>
        <w:tc>
          <w:tcPr>
            <w:tcW w:w="585" w:type="pct"/>
            <w:tcBorders>
              <w:top w:val="single" w:sz="4" w:space="0" w:color="D9D9D9" w:themeColor="background1" w:themeShade="D9"/>
              <w:left w:val="single" w:sz="4" w:space="0" w:color="BFBFBF"/>
              <w:bottom w:val="single" w:sz="4" w:space="0" w:color="D9D9D9" w:themeColor="background1" w:themeShade="D9"/>
            </w:tcBorders>
          </w:tcPr>
          <w:p w14:paraId="74965E02" w14:textId="77777777" w:rsidR="00EE1582" w:rsidRPr="00DC5464" w:rsidRDefault="00EE1582" w:rsidP="00DC5464">
            <w:pPr>
              <w:tabs>
                <w:tab w:val="left" w:pos="33"/>
                <w:tab w:val="left" w:pos="459"/>
              </w:tabs>
              <w:spacing w:before="80" w:after="80"/>
              <w:ind w:left="33"/>
              <w:rPr>
                <w:sz w:val="21"/>
                <w:szCs w:val="21"/>
              </w:rPr>
            </w:pPr>
            <w:r w:rsidRPr="00DC5464">
              <w:rPr>
                <w:sz w:val="21"/>
                <w:szCs w:val="21"/>
              </w:rPr>
              <w:t>System level</w:t>
            </w:r>
          </w:p>
        </w:tc>
        <w:tc>
          <w:tcPr>
            <w:tcW w:w="1969" w:type="pct"/>
            <w:tcBorders>
              <w:top w:val="single" w:sz="4" w:space="0" w:color="D9D9D9" w:themeColor="background1" w:themeShade="D9"/>
              <w:left w:val="single" w:sz="4" w:space="0" w:color="BFBFBF"/>
              <w:bottom w:val="single" w:sz="4" w:space="0" w:color="D9D9D9" w:themeColor="background1" w:themeShade="D9"/>
            </w:tcBorders>
          </w:tcPr>
          <w:p w14:paraId="05F2660A" w14:textId="18ADC0EF" w:rsidR="00EE1582" w:rsidRDefault="00EE1582" w:rsidP="00DC5464">
            <w:pPr>
              <w:pStyle w:val="ListParagraph"/>
              <w:numPr>
                <w:ilvl w:val="0"/>
                <w:numId w:val="14"/>
              </w:numPr>
              <w:tabs>
                <w:tab w:val="clear" w:pos="818"/>
                <w:tab w:val="clear" w:pos="819"/>
              </w:tabs>
              <w:spacing w:before="80" w:after="80"/>
              <w:ind w:right="113"/>
              <w:rPr>
                <w:rFonts w:asciiTheme="minorHAnsi" w:hAnsiTheme="minorHAnsi"/>
                <w:iCs/>
                <w:sz w:val="21"/>
                <w:szCs w:val="21"/>
              </w:rPr>
            </w:pPr>
            <w:r w:rsidRPr="00DC5464">
              <w:rPr>
                <w:rFonts w:asciiTheme="minorHAnsi" w:hAnsiTheme="minorHAnsi"/>
                <w:iCs/>
                <w:sz w:val="21"/>
                <w:szCs w:val="21"/>
              </w:rPr>
              <w:t>Senior representatives from relevant national government units</w:t>
            </w:r>
            <w:r w:rsidR="005520C6">
              <w:rPr>
                <w:rFonts w:asciiTheme="minorHAnsi" w:hAnsiTheme="minorHAnsi"/>
                <w:iCs/>
                <w:sz w:val="21"/>
                <w:szCs w:val="21"/>
              </w:rPr>
              <w:t>, for example</w:t>
            </w:r>
            <w:r w:rsidRPr="00DC5464">
              <w:rPr>
                <w:rFonts w:asciiTheme="minorHAnsi" w:hAnsiTheme="minorHAnsi"/>
                <w:iCs/>
                <w:sz w:val="21"/>
                <w:szCs w:val="21"/>
              </w:rPr>
              <w:t>:</w:t>
            </w:r>
          </w:p>
          <w:p w14:paraId="0FE9808D" w14:textId="77777777" w:rsidR="00DC5464" w:rsidRPr="00DC5464" w:rsidRDefault="00DC5464" w:rsidP="00DC5464">
            <w:pPr>
              <w:pStyle w:val="sublistbullet"/>
              <w:spacing w:before="80" w:after="80"/>
              <w:ind w:left="603" w:hanging="284"/>
            </w:pPr>
            <w:r>
              <w:t>P</w:t>
            </w:r>
            <w:r w:rsidRPr="00DC5464">
              <w:t>olicy and planning</w:t>
            </w:r>
          </w:p>
          <w:p w14:paraId="0BF55680" w14:textId="77777777" w:rsidR="00DC5464" w:rsidRPr="00DC5464" w:rsidRDefault="00DC5464" w:rsidP="00DC5464">
            <w:pPr>
              <w:pStyle w:val="sublistbullet"/>
              <w:spacing w:before="80" w:after="80"/>
              <w:ind w:left="603" w:hanging="284"/>
            </w:pPr>
            <w:r>
              <w:t xml:space="preserve">Monitoring and evaluation, assessment, </w:t>
            </w:r>
            <w:r w:rsidRPr="00DC5464">
              <w:t>examination</w:t>
            </w:r>
          </w:p>
          <w:p w14:paraId="5E042598" w14:textId="77777777" w:rsidR="00DC5464" w:rsidRPr="00DC5464" w:rsidRDefault="00DC5464" w:rsidP="00DC5464">
            <w:pPr>
              <w:pStyle w:val="sublistbullet"/>
              <w:spacing w:before="80" w:after="80"/>
              <w:ind w:left="603" w:hanging="284"/>
            </w:pPr>
            <w:r>
              <w:t>C</w:t>
            </w:r>
            <w:r w:rsidRPr="00DC5464">
              <w:t>urriculum</w:t>
            </w:r>
          </w:p>
          <w:p w14:paraId="1FE73B0C" w14:textId="77777777" w:rsidR="00EE1582" w:rsidRPr="00DC5464" w:rsidRDefault="00EE1582" w:rsidP="00DC5464">
            <w:pPr>
              <w:pStyle w:val="ListParagraph"/>
              <w:numPr>
                <w:ilvl w:val="0"/>
                <w:numId w:val="14"/>
              </w:numPr>
              <w:tabs>
                <w:tab w:val="clear" w:pos="818"/>
                <w:tab w:val="clear" w:pos="819"/>
              </w:tabs>
              <w:spacing w:before="80" w:after="80"/>
              <w:ind w:right="113"/>
              <w:rPr>
                <w:rFonts w:asciiTheme="minorHAnsi" w:hAnsiTheme="minorHAnsi"/>
                <w:iCs/>
                <w:sz w:val="21"/>
                <w:szCs w:val="21"/>
              </w:rPr>
            </w:pPr>
            <w:r w:rsidRPr="00DC5464">
              <w:rPr>
                <w:rFonts w:asciiTheme="minorHAnsi" w:hAnsiTheme="minorHAnsi"/>
                <w:iCs/>
                <w:sz w:val="21"/>
                <w:szCs w:val="21"/>
              </w:rPr>
              <w:t>Senior representatives from relevant sub-national government units, for example, from local education offices</w:t>
            </w:r>
          </w:p>
          <w:p w14:paraId="4AF4DD6D" w14:textId="2EDF7F1B" w:rsidR="00EE1582" w:rsidRPr="00DC5464" w:rsidRDefault="00EE1582" w:rsidP="00DC5464">
            <w:pPr>
              <w:pStyle w:val="ListParagraph"/>
              <w:numPr>
                <w:ilvl w:val="0"/>
                <w:numId w:val="14"/>
              </w:numPr>
              <w:tabs>
                <w:tab w:val="clear" w:pos="818"/>
                <w:tab w:val="clear" w:pos="819"/>
              </w:tabs>
              <w:spacing w:before="80" w:after="80"/>
              <w:ind w:right="113"/>
              <w:rPr>
                <w:rFonts w:asciiTheme="minorHAnsi" w:hAnsiTheme="minorHAnsi"/>
                <w:iCs/>
                <w:sz w:val="21"/>
                <w:szCs w:val="21"/>
              </w:rPr>
            </w:pPr>
            <w:r w:rsidRPr="00DC5464">
              <w:rPr>
                <w:rFonts w:asciiTheme="minorHAnsi" w:hAnsiTheme="minorHAnsi"/>
                <w:iCs/>
                <w:sz w:val="21"/>
                <w:szCs w:val="21"/>
              </w:rPr>
              <w:t>Senior representatives from external agencies with major responsibilities in learning assessment</w:t>
            </w:r>
          </w:p>
          <w:p w14:paraId="0F8EFAD8" w14:textId="6BA867A7" w:rsidR="00EE1582" w:rsidRPr="00DC5464" w:rsidRDefault="00FE1E73" w:rsidP="00DC5464">
            <w:pPr>
              <w:pStyle w:val="ListParagraph"/>
              <w:numPr>
                <w:ilvl w:val="0"/>
                <w:numId w:val="14"/>
              </w:numPr>
              <w:tabs>
                <w:tab w:val="clear" w:pos="818"/>
                <w:tab w:val="clear" w:pos="819"/>
              </w:tabs>
              <w:spacing w:before="80" w:after="80"/>
              <w:ind w:right="113"/>
              <w:rPr>
                <w:rFonts w:asciiTheme="minorHAnsi" w:hAnsiTheme="minorHAnsi"/>
                <w:iCs/>
                <w:sz w:val="21"/>
                <w:szCs w:val="21"/>
              </w:rPr>
            </w:pPr>
            <w:r>
              <w:rPr>
                <w:rFonts w:asciiTheme="minorHAnsi" w:hAnsiTheme="minorHAnsi"/>
                <w:iCs/>
                <w:sz w:val="21"/>
                <w:szCs w:val="21"/>
              </w:rPr>
              <w:t>D</w:t>
            </w:r>
            <w:r w:rsidR="00EE1582" w:rsidRPr="00DC5464">
              <w:rPr>
                <w:rFonts w:asciiTheme="minorHAnsi" w:hAnsiTheme="minorHAnsi"/>
                <w:iCs/>
                <w:sz w:val="21"/>
                <w:szCs w:val="21"/>
              </w:rPr>
              <w:t>evelopment partners and donors involved in education and learning assessment</w:t>
            </w:r>
          </w:p>
          <w:p w14:paraId="7B39E417" w14:textId="78380CA4" w:rsidR="00EE1582" w:rsidRPr="00DC5464" w:rsidRDefault="00EE1582" w:rsidP="00DC5464">
            <w:pPr>
              <w:pStyle w:val="ListParagraph"/>
              <w:numPr>
                <w:ilvl w:val="0"/>
                <w:numId w:val="14"/>
              </w:numPr>
              <w:tabs>
                <w:tab w:val="clear" w:pos="818"/>
                <w:tab w:val="clear" w:pos="819"/>
              </w:tabs>
              <w:spacing w:before="80" w:after="80"/>
              <w:ind w:right="113"/>
              <w:rPr>
                <w:rFonts w:asciiTheme="minorHAnsi" w:hAnsiTheme="minorHAnsi"/>
                <w:iCs/>
                <w:sz w:val="21"/>
                <w:szCs w:val="21"/>
              </w:rPr>
            </w:pPr>
            <w:r w:rsidRPr="00DC5464">
              <w:rPr>
                <w:rFonts w:asciiTheme="minorHAnsi" w:hAnsiTheme="minorHAnsi"/>
                <w:iCs/>
                <w:sz w:val="21"/>
                <w:szCs w:val="21"/>
              </w:rPr>
              <w:t>Senior representatives of civil society organizations and private sector organizations involved in education and learning assessment</w:t>
            </w:r>
          </w:p>
        </w:tc>
        <w:tc>
          <w:tcPr>
            <w:tcW w:w="1702" w:type="pct"/>
            <w:tcBorders>
              <w:top w:val="single" w:sz="4" w:space="0" w:color="D9D9D9" w:themeColor="background1" w:themeShade="D9"/>
              <w:left w:val="single" w:sz="4" w:space="0" w:color="BFBFBF"/>
              <w:bottom w:val="single" w:sz="4" w:space="0" w:color="D9D9D9" w:themeColor="background1" w:themeShade="D9"/>
            </w:tcBorders>
          </w:tcPr>
          <w:p w14:paraId="73A14C6F" w14:textId="77777777" w:rsidR="00EE1582" w:rsidRPr="00DC5464" w:rsidRDefault="00EE1582" w:rsidP="00DC5464">
            <w:pPr>
              <w:tabs>
                <w:tab w:val="left" w:pos="33"/>
                <w:tab w:val="left" w:pos="459"/>
              </w:tabs>
              <w:spacing w:before="80" w:after="80"/>
              <w:ind w:left="33"/>
              <w:rPr>
                <w:sz w:val="21"/>
                <w:szCs w:val="21"/>
              </w:rPr>
            </w:pPr>
          </w:p>
        </w:tc>
      </w:tr>
    </w:tbl>
    <w:p w14:paraId="6DDF0E95" w14:textId="77777777" w:rsidR="00C679AE" w:rsidRDefault="00C679AE">
      <w:pPr>
        <w:widowControl/>
        <w:autoSpaceDE/>
        <w:autoSpaceDN/>
        <w:spacing w:before="0" w:after="160" w:line="259" w:lineRule="auto"/>
        <w:rPr>
          <w:rFonts w:asciiTheme="minorHAnsi" w:eastAsiaTheme="minorHAnsi" w:hAnsiTheme="minorHAnsi" w:cs="Times New Roman"/>
          <w:b/>
          <w:bCs/>
          <w:color w:val="803F91"/>
          <w:lang w:eastAsia="zh-CN"/>
        </w:rPr>
      </w:pPr>
      <w:r>
        <w:br w:type="page"/>
      </w:r>
    </w:p>
    <w:p w14:paraId="39D253F4" w14:textId="0779CEAC" w:rsidR="00EC6621" w:rsidRPr="00C83662" w:rsidRDefault="00EC6621" w:rsidP="00E458DF">
      <w:pPr>
        <w:pStyle w:val="Heading2"/>
        <w:ind w:left="578" w:hanging="578"/>
      </w:pPr>
      <w:r w:rsidRPr="00C83662">
        <w:lastRenderedPageBreak/>
        <w:t xml:space="preserve">Document </w:t>
      </w:r>
      <w:r w:rsidRPr="00C83662">
        <w:rPr>
          <w:lang w:eastAsia="en-AU"/>
        </w:rPr>
        <w:t>mapping</w:t>
      </w:r>
      <w:r w:rsidR="00E458DF">
        <w:rPr>
          <w:lang w:eastAsia="en-AU"/>
        </w:rPr>
        <w:t xml:space="preserve"> table</w:t>
      </w:r>
    </w:p>
    <w:tbl>
      <w:tblPr>
        <w:tblStyle w:val="TableGrid"/>
        <w:tblW w:w="51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630"/>
        <w:gridCol w:w="1624"/>
        <w:gridCol w:w="4534"/>
        <w:gridCol w:w="5460"/>
      </w:tblGrid>
      <w:tr w:rsidR="00EC3D84" w:rsidRPr="00DC5464" w14:paraId="52AA357D" w14:textId="7999BD10" w:rsidTr="00EE1582">
        <w:trPr>
          <w:trHeight w:val="227"/>
        </w:trPr>
        <w:tc>
          <w:tcPr>
            <w:tcW w:w="923" w:type="pct"/>
            <w:tcBorders>
              <w:top w:val="thinThickSmallGap" w:sz="24" w:space="0" w:color="803F91"/>
              <w:bottom w:val="single" w:sz="4" w:space="0" w:color="803F91"/>
            </w:tcBorders>
            <w:shd w:val="clear" w:color="auto" w:fill="F2F2F2" w:themeFill="background1" w:themeFillShade="F2"/>
            <w:vAlign w:val="center"/>
          </w:tcPr>
          <w:p w14:paraId="54EB839E" w14:textId="77777777" w:rsidR="00EC3D84" w:rsidRPr="00DC5464" w:rsidRDefault="00EC3D84" w:rsidP="00DC5464">
            <w:pPr>
              <w:tabs>
                <w:tab w:val="left" w:pos="1031"/>
              </w:tabs>
              <w:spacing w:before="80" w:after="80"/>
              <w:ind w:right="176"/>
              <w:rPr>
                <w:rFonts w:asciiTheme="minorHAnsi" w:hAnsiTheme="minorHAnsi"/>
                <w:b/>
                <w:color w:val="803F91"/>
                <w:sz w:val="21"/>
                <w:szCs w:val="21"/>
                <w:lang w:eastAsia="en-AU"/>
              </w:rPr>
            </w:pPr>
            <w:r w:rsidRPr="00DC5464">
              <w:rPr>
                <w:rFonts w:asciiTheme="minorHAnsi" w:hAnsiTheme="minorHAnsi"/>
                <w:b/>
                <w:color w:val="803F91"/>
                <w:sz w:val="21"/>
                <w:szCs w:val="21"/>
                <w:lang w:eastAsia="en-AU"/>
              </w:rPr>
              <w:t>Dimension</w:t>
            </w:r>
          </w:p>
        </w:tc>
        <w:tc>
          <w:tcPr>
            <w:tcW w:w="570" w:type="pct"/>
            <w:tcBorders>
              <w:top w:val="thinThickSmallGap" w:sz="24" w:space="0" w:color="803F91"/>
              <w:bottom w:val="single" w:sz="4" w:space="0" w:color="803F91"/>
            </w:tcBorders>
            <w:shd w:val="clear" w:color="auto" w:fill="F2F2F2" w:themeFill="background1" w:themeFillShade="F2"/>
            <w:vAlign w:val="center"/>
          </w:tcPr>
          <w:p w14:paraId="6A252547" w14:textId="77777777" w:rsidR="00EC3D84" w:rsidRPr="00DC5464" w:rsidRDefault="00EC3D84" w:rsidP="00DC5464">
            <w:pPr>
              <w:tabs>
                <w:tab w:val="left" w:pos="1031"/>
              </w:tabs>
              <w:spacing w:before="80" w:after="80"/>
              <w:ind w:right="176"/>
              <w:rPr>
                <w:rFonts w:asciiTheme="minorHAnsi" w:hAnsiTheme="minorHAnsi"/>
                <w:b/>
                <w:color w:val="803F91"/>
                <w:sz w:val="21"/>
                <w:szCs w:val="21"/>
                <w:lang w:eastAsia="en-AU"/>
              </w:rPr>
            </w:pPr>
            <w:r w:rsidRPr="00DC5464">
              <w:rPr>
                <w:rFonts w:asciiTheme="minorHAnsi" w:hAnsiTheme="minorHAnsi"/>
                <w:b/>
                <w:color w:val="803F91"/>
                <w:sz w:val="21"/>
                <w:szCs w:val="21"/>
                <w:lang w:eastAsia="en-AU"/>
              </w:rPr>
              <w:t xml:space="preserve">Level </w:t>
            </w:r>
          </w:p>
        </w:tc>
        <w:tc>
          <w:tcPr>
            <w:tcW w:w="1591" w:type="pct"/>
            <w:tcBorders>
              <w:top w:val="thinThickSmallGap" w:sz="24" w:space="0" w:color="803F91"/>
              <w:bottom w:val="single" w:sz="4" w:space="0" w:color="803F91"/>
            </w:tcBorders>
            <w:shd w:val="clear" w:color="auto" w:fill="F2F2F2" w:themeFill="background1" w:themeFillShade="F2"/>
            <w:vAlign w:val="center"/>
          </w:tcPr>
          <w:p w14:paraId="2E140FAD" w14:textId="787A1000" w:rsidR="00EC3D84" w:rsidRPr="00DC5464" w:rsidRDefault="00EC3D84" w:rsidP="00DC5464">
            <w:pPr>
              <w:tabs>
                <w:tab w:val="left" w:pos="1031"/>
              </w:tabs>
              <w:spacing w:before="80" w:after="80"/>
              <w:ind w:right="176"/>
              <w:rPr>
                <w:rFonts w:asciiTheme="minorHAnsi" w:hAnsiTheme="minorHAnsi"/>
                <w:b/>
                <w:color w:val="803F91"/>
                <w:sz w:val="21"/>
                <w:szCs w:val="21"/>
                <w:lang w:eastAsia="en-AU"/>
              </w:rPr>
            </w:pPr>
            <w:r w:rsidRPr="00DC5464">
              <w:rPr>
                <w:rFonts w:asciiTheme="minorHAnsi" w:hAnsiTheme="minorHAnsi"/>
                <w:b/>
                <w:color w:val="803F91"/>
                <w:sz w:val="21"/>
                <w:szCs w:val="21"/>
                <w:lang w:eastAsia="en-AU"/>
              </w:rPr>
              <w:t>Example documents</w:t>
            </w:r>
          </w:p>
        </w:tc>
        <w:tc>
          <w:tcPr>
            <w:tcW w:w="1916" w:type="pct"/>
            <w:tcBorders>
              <w:top w:val="thinThickSmallGap" w:sz="24" w:space="0" w:color="803F91"/>
              <w:bottom w:val="single" w:sz="4" w:space="0" w:color="803F91"/>
            </w:tcBorders>
            <w:shd w:val="clear" w:color="auto" w:fill="F2F2F2" w:themeFill="background1" w:themeFillShade="F2"/>
            <w:vAlign w:val="center"/>
          </w:tcPr>
          <w:p w14:paraId="19F705CD" w14:textId="394768E5" w:rsidR="00EC3D84" w:rsidRPr="00DC5464" w:rsidRDefault="00EC3D84" w:rsidP="00DC5464">
            <w:pPr>
              <w:tabs>
                <w:tab w:val="left" w:pos="1031"/>
              </w:tabs>
              <w:spacing w:before="80" w:after="80"/>
              <w:ind w:right="176"/>
              <w:rPr>
                <w:rFonts w:asciiTheme="minorHAnsi" w:hAnsiTheme="minorHAnsi"/>
                <w:b/>
                <w:color w:val="803F91"/>
                <w:sz w:val="21"/>
                <w:szCs w:val="21"/>
                <w:lang w:eastAsia="en-AU"/>
              </w:rPr>
            </w:pPr>
            <w:r w:rsidRPr="00DC5464">
              <w:rPr>
                <w:rFonts w:asciiTheme="minorHAnsi" w:hAnsiTheme="minorHAnsi"/>
                <w:b/>
                <w:color w:val="803F91"/>
                <w:sz w:val="21"/>
                <w:szCs w:val="21"/>
                <w:lang w:eastAsia="en-AU"/>
              </w:rPr>
              <w:t>Documents identified</w:t>
            </w:r>
            <w:r w:rsidR="00A94AC8" w:rsidRPr="00DC5464">
              <w:rPr>
                <w:rFonts w:asciiTheme="minorHAnsi" w:hAnsiTheme="minorHAnsi"/>
                <w:b/>
                <w:color w:val="803F91"/>
                <w:sz w:val="21"/>
                <w:szCs w:val="21"/>
                <w:lang w:eastAsia="en-AU"/>
              </w:rPr>
              <w:br/>
            </w:r>
            <w:r w:rsidR="00DC5464">
              <w:rPr>
                <w:rFonts w:asciiTheme="minorHAnsi" w:hAnsiTheme="minorHAnsi"/>
                <w:i/>
                <w:color w:val="803F91"/>
                <w:sz w:val="21"/>
                <w:szCs w:val="21"/>
                <w:lang w:eastAsia="en-AU"/>
              </w:rPr>
              <w:t>[For national team to complete]</w:t>
            </w:r>
          </w:p>
        </w:tc>
      </w:tr>
      <w:tr w:rsidR="007A4500" w:rsidRPr="00DC5464" w14:paraId="35541AB9" w14:textId="34A64E08" w:rsidTr="00EE1582">
        <w:tc>
          <w:tcPr>
            <w:tcW w:w="923" w:type="pct"/>
            <w:tcBorders>
              <w:top w:val="single" w:sz="4" w:space="0" w:color="D9D9D9" w:themeColor="background1" w:themeShade="D9"/>
              <w:bottom w:val="single" w:sz="4" w:space="0" w:color="D9D9D9" w:themeColor="background1" w:themeShade="D9"/>
              <w:right w:val="single" w:sz="4" w:space="0" w:color="BFBFBF"/>
            </w:tcBorders>
            <w:shd w:val="clear" w:color="auto" w:fill="F2F2F2" w:themeFill="background1" w:themeFillShade="F2"/>
          </w:tcPr>
          <w:p w14:paraId="66D2EDD9" w14:textId="6616AB8C" w:rsidR="007A4500" w:rsidRPr="00DC5464" w:rsidRDefault="007A4500" w:rsidP="00DC5464">
            <w:pPr>
              <w:widowControl/>
              <w:tabs>
                <w:tab w:val="left" w:pos="318"/>
              </w:tabs>
              <w:autoSpaceDE/>
              <w:autoSpaceDN/>
              <w:spacing w:before="80" w:after="80"/>
              <w:rPr>
                <w:rFonts w:asciiTheme="minorHAnsi" w:hAnsiTheme="minorHAnsi"/>
                <w:sz w:val="21"/>
                <w:szCs w:val="21"/>
              </w:rPr>
            </w:pPr>
            <w:r w:rsidRPr="00DC5464">
              <w:rPr>
                <w:rFonts w:asciiTheme="minorHAnsi" w:hAnsiTheme="minorHAnsi"/>
                <w:sz w:val="21"/>
                <w:szCs w:val="21"/>
              </w:rPr>
              <w:t>1. Context of the assessment system</w:t>
            </w:r>
            <w:r w:rsidR="004F35B7">
              <w:rPr>
                <w:rFonts w:asciiTheme="minorHAnsi" w:hAnsiTheme="minorHAnsi"/>
                <w:sz w:val="21"/>
                <w:szCs w:val="21"/>
              </w:rPr>
              <w:t xml:space="preserve"> (CN)</w:t>
            </w:r>
          </w:p>
        </w:tc>
        <w:tc>
          <w:tcPr>
            <w:tcW w:w="570" w:type="pct"/>
            <w:tcBorders>
              <w:top w:val="single" w:sz="4" w:space="0" w:color="D9D9D9" w:themeColor="background1" w:themeShade="D9"/>
              <w:left w:val="single" w:sz="4" w:space="0" w:color="BFBFBF"/>
              <w:bottom w:val="single" w:sz="4" w:space="0" w:color="D9D9D9" w:themeColor="background1" w:themeShade="D9"/>
            </w:tcBorders>
          </w:tcPr>
          <w:p w14:paraId="44FB9E2F" w14:textId="77777777" w:rsidR="007A4500" w:rsidRPr="00DC5464" w:rsidRDefault="007A4500" w:rsidP="00DC5464">
            <w:pPr>
              <w:tabs>
                <w:tab w:val="left" w:pos="33"/>
                <w:tab w:val="left" w:pos="459"/>
              </w:tabs>
              <w:spacing w:before="80" w:after="80"/>
              <w:ind w:left="33"/>
              <w:rPr>
                <w:rFonts w:asciiTheme="minorHAnsi" w:hAnsiTheme="minorHAnsi"/>
                <w:sz w:val="21"/>
                <w:szCs w:val="21"/>
              </w:rPr>
            </w:pPr>
            <w:r w:rsidRPr="00DC5464">
              <w:rPr>
                <w:rFonts w:asciiTheme="minorHAnsi" w:hAnsiTheme="minorHAnsi"/>
                <w:sz w:val="21"/>
                <w:szCs w:val="21"/>
              </w:rPr>
              <w:t>System level</w:t>
            </w:r>
          </w:p>
        </w:tc>
        <w:tc>
          <w:tcPr>
            <w:tcW w:w="1591" w:type="pct"/>
            <w:tcBorders>
              <w:top w:val="single" w:sz="4" w:space="0" w:color="D9D9D9" w:themeColor="background1" w:themeShade="D9"/>
              <w:left w:val="single" w:sz="4" w:space="0" w:color="BFBFBF"/>
              <w:bottom w:val="single" w:sz="4" w:space="0" w:color="D9D9D9" w:themeColor="background1" w:themeShade="D9"/>
            </w:tcBorders>
          </w:tcPr>
          <w:p w14:paraId="7255BCAD"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Budget documents</w:t>
            </w:r>
          </w:p>
          <w:p w14:paraId="5E342D6F"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Education sector analysis</w:t>
            </w:r>
          </w:p>
          <w:p w14:paraId="12BFED71"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Education sector plans</w:t>
            </w:r>
          </w:p>
          <w:p w14:paraId="6804D407" w14:textId="73126436" w:rsidR="00A94AC8" w:rsidRPr="004F35B7" w:rsidRDefault="00A94AC8" w:rsidP="004F35B7">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 xml:space="preserve">GPE grant (ESPIG) application form, implementation/completion report, </w:t>
            </w:r>
            <w:r w:rsidRPr="004F35B7">
              <w:rPr>
                <w:rFonts w:asciiTheme="minorHAnsi" w:hAnsiTheme="minorHAnsi"/>
                <w:sz w:val="21"/>
                <w:szCs w:val="21"/>
              </w:rPr>
              <w:t>program</w:t>
            </w:r>
            <w:r w:rsidR="004F35B7">
              <w:rPr>
                <w:rFonts w:asciiTheme="minorHAnsi" w:hAnsiTheme="minorHAnsi"/>
                <w:sz w:val="21"/>
                <w:szCs w:val="21"/>
              </w:rPr>
              <w:t> </w:t>
            </w:r>
            <w:r w:rsidRPr="004F35B7">
              <w:rPr>
                <w:rFonts w:asciiTheme="minorHAnsi" w:hAnsiTheme="minorHAnsi"/>
                <w:sz w:val="21"/>
                <w:szCs w:val="21"/>
              </w:rPr>
              <w:t>document, requirement matrix</w:t>
            </w:r>
            <w:r w:rsidRPr="00DC5464">
              <w:rPr>
                <w:rStyle w:val="FootnoteReference"/>
                <w:rFonts w:asciiTheme="minorHAnsi" w:hAnsiTheme="minorHAnsi"/>
                <w:sz w:val="21"/>
                <w:szCs w:val="21"/>
              </w:rPr>
              <w:footnoteReference w:id="1"/>
            </w:r>
          </w:p>
          <w:p w14:paraId="1C46F16E"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Laws and legislation</w:t>
            </w:r>
          </w:p>
          <w:p w14:paraId="68A8B71D"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Recommendations for classroom assessment</w:t>
            </w:r>
          </w:p>
          <w:p w14:paraId="2B85CF8B" w14:textId="73A51609"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Reports on practices in 21</w:t>
            </w:r>
            <w:r w:rsidRPr="00B506BE">
              <w:rPr>
                <w:rFonts w:asciiTheme="minorHAnsi" w:hAnsiTheme="minorHAnsi"/>
                <w:sz w:val="21"/>
                <w:szCs w:val="21"/>
                <w:vertAlign w:val="superscript"/>
              </w:rPr>
              <w:t>st</w:t>
            </w:r>
            <w:r w:rsidRPr="00DC5464">
              <w:rPr>
                <w:rFonts w:asciiTheme="minorHAnsi" w:hAnsiTheme="minorHAnsi"/>
                <w:sz w:val="21"/>
                <w:szCs w:val="21"/>
              </w:rPr>
              <w:t xml:space="preserve"> century skills assessment (</w:t>
            </w:r>
            <w:r w:rsidR="004F35B7">
              <w:rPr>
                <w:rFonts w:asciiTheme="minorHAnsi" w:hAnsiTheme="minorHAnsi"/>
                <w:sz w:val="21"/>
                <w:szCs w:val="21"/>
              </w:rPr>
              <w:t>for example,</w:t>
            </w:r>
            <w:r w:rsidRPr="00DC5464">
              <w:rPr>
                <w:rFonts w:asciiTheme="minorHAnsi" w:hAnsiTheme="minorHAnsi"/>
                <w:sz w:val="21"/>
                <w:szCs w:val="21"/>
              </w:rPr>
              <w:t xml:space="preserve"> studies undertaken for NEQMAP/TALENT)</w:t>
            </w:r>
          </w:p>
          <w:p w14:paraId="03F050B0" w14:textId="4777D293" w:rsidR="007A4500"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SABER questionnaires and reports</w:t>
            </w:r>
          </w:p>
        </w:tc>
        <w:tc>
          <w:tcPr>
            <w:tcW w:w="1916" w:type="pct"/>
            <w:tcBorders>
              <w:top w:val="single" w:sz="4" w:space="0" w:color="D9D9D9" w:themeColor="background1" w:themeShade="D9"/>
              <w:left w:val="single" w:sz="4" w:space="0" w:color="BFBFBF"/>
              <w:bottom w:val="single" w:sz="4" w:space="0" w:color="D9D9D9" w:themeColor="background1" w:themeShade="D9"/>
            </w:tcBorders>
          </w:tcPr>
          <w:p w14:paraId="6B0C6A76" w14:textId="77777777" w:rsidR="007A4500" w:rsidRPr="00DC5464" w:rsidRDefault="007A4500" w:rsidP="00DC5464">
            <w:pPr>
              <w:tabs>
                <w:tab w:val="left" w:pos="455"/>
              </w:tabs>
              <w:spacing w:before="80" w:after="80"/>
              <w:ind w:right="113"/>
              <w:rPr>
                <w:rFonts w:asciiTheme="minorHAnsi" w:hAnsiTheme="minorHAnsi"/>
                <w:sz w:val="21"/>
                <w:szCs w:val="21"/>
              </w:rPr>
            </w:pPr>
          </w:p>
        </w:tc>
      </w:tr>
      <w:tr w:rsidR="007A4500" w:rsidRPr="00DC5464" w14:paraId="15A6274F" w14:textId="565D1DBD" w:rsidTr="00EE1582">
        <w:tc>
          <w:tcPr>
            <w:tcW w:w="923" w:type="pct"/>
            <w:tcBorders>
              <w:top w:val="single" w:sz="4" w:space="0" w:color="D9D9D9" w:themeColor="background1" w:themeShade="D9"/>
              <w:bottom w:val="single" w:sz="4" w:space="0" w:color="D9D9D9" w:themeColor="background1" w:themeShade="D9"/>
              <w:right w:val="single" w:sz="4" w:space="0" w:color="BFBFBF"/>
            </w:tcBorders>
            <w:shd w:val="clear" w:color="auto" w:fill="F2F2F2" w:themeFill="background1" w:themeFillShade="F2"/>
          </w:tcPr>
          <w:p w14:paraId="7691FA2E" w14:textId="0BE84B42" w:rsidR="007A4500" w:rsidRPr="00DC5464" w:rsidRDefault="00A94AC8" w:rsidP="00DC5464">
            <w:pPr>
              <w:widowControl/>
              <w:tabs>
                <w:tab w:val="left" w:pos="318"/>
              </w:tabs>
              <w:autoSpaceDE/>
              <w:autoSpaceDN/>
              <w:spacing w:before="80" w:after="80"/>
              <w:ind w:left="34"/>
              <w:rPr>
                <w:rFonts w:asciiTheme="minorHAnsi" w:hAnsiTheme="minorHAnsi"/>
                <w:sz w:val="21"/>
                <w:szCs w:val="21"/>
              </w:rPr>
            </w:pPr>
            <w:r w:rsidRPr="00DC5464">
              <w:rPr>
                <w:rFonts w:asciiTheme="minorHAnsi" w:hAnsiTheme="minorHAnsi"/>
                <w:sz w:val="21"/>
                <w:szCs w:val="21"/>
              </w:rPr>
              <w:t xml:space="preserve">2A. Quality of </w:t>
            </w:r>
            <w:r w:rsidR="00DC5464">
              <w:rPr>
                <w:rFonts w:asciiTheme="minorHAnsi" w:hAnsiTheme="minorHAnsi"/>
                <w:sz w:val="21"/>
                <w:szCs w:val="21"/>
              </w:rPr>
              <w:t>large-scale assessment and examination</w:t>
            </w:r>
            <w:r w:rsidR="004F35B7">
              <w:rPr>
                <w:rFonts w:asciiTheme="minorHAnsi" w:hAnsiTheme="minorHAnsi"/>
                <w:sz w:val="21"/>
                <w:szCs w:val="21"/>
              </w:rPr>
              <w:t xml:space="preserve"> (QLE)</w:t>
            </w:r>
          </w:p>
        </w:tc>
        <w:tc>
          <w:tcPr>
            <w:tcW w:w="570" w:type="pct"/>
            <w:tcBorders>
              <w:top w:val="single" w:sz="4" w:space="0" w:color="D9D9D9" w:themeColor="background1" w:themeShade="D9"/>
              <w:left w:val="single" w:sz="4" w:space="0" w:color="BFBFBF"/>
            </w:tcBorders>
          </w:tcPr>
          <w:p w14:paraId="5937A1C8" w14:textId="77777777" w:rsidR="007A4500" w:rsidRPr="00DC5464" w:rsidRDefault="007A4500" w:rsidP="00DC5464">
            <w:pPr>
              <w:tabs>
                <w:tab w:val="left" w:pos="33"/>
                <w:tab w:val="left" w:pos="459"/>
              </w:tabs>
              <w:spacing w:before="80" w:after="80"/>
              <w:ind w:left="33"/>
              <w:rPr>
                <w:rFonts w:asciiTheme="minorHAnsi" w:hAnsiTheme="minorHAnsi"/>
                <w:sz w:val="21"/>
                <w:szCs w:val="21"/>
              </w:rPr>
            </w:pPr>
            <w:r w:rsidRPr="00DC5464">
              <w:rPr>
                <w:rFonts w:asciiTheme="minorHAnsi" w:hAnsiTheme="minorHAnsi"/>
                <w:sz w:val="21"/>
                <w:szCs w:val="21"/>
              </w:rPr>
              <w:t>Program level</w:t>
            </w:r>
          </w:p>
        </w:tc>
        <w:tc>
          <w:tcPr>
            <w:tcW w:w="1591" w:type="pct"/>
            <w:tcBorders>
              <w:top w:val="single" w:sz="4" w:space="0" w:color="D9D9D9" w:themeColor="background1" w:themeShade="D9"/>
              <w:left w:val="single" w:sz="4" w:space="0" w:color="BFBFBF"/>
              <w:bottom w:val="single" w:sz="4" w:space="0" w:color="D9D9D9" w:themeColor="background1" w:themeShade="D9"/>
            </w:tcBorders>
          </w:tcPr>
          <w:p w14:paraId="44ABA4FB"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Annual statistics reports</w:t>
            </w:r>
          </w:p>
          <w:p w14:paraId="07E51A89"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Assessment frameworks</w:t>
            </w:r>
          </w:p>
          <w:p w14:paraId="7B37BC14"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Assessment results reports</w:t>
            </w:r>
          </w:p>
          <w:p w14:paraId="243741F4"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Assessment team organizational chart</w:t>
            </w:r>
          </w:p>
          <w:p w14:paraId="76E9FCB0" w14:textId="1790339F"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Codebook and data management manuals</w:t>
            </w:r>
          </w:p>
          <w:p w14:paraId="098FDDFB"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Contextual instruments</w:t>
            </w:r>
          </w:p>
          <w:p w14:paraId="6F43AB57"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Curriculum and curriculum documents</w:t>
            </w:r>
          </w:p>
          <w:p w14:paraId="12111B8C"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 xml:space="preserve">Documentation about the learning </w:t>
            </w:r>
            <w:r w:rsidRPr="00DC5464">
              <w:rPr>
                <w:rFonts w:asciiTheme="minorHAnsi" w:hAnsiTheme="minorHAnsi"/>
                <w:sz w:val="21"/>
                <w:szCs w:val="21"/>
              </w:rPr>
              <w:lastRenderedPageBreak/>
              <w:t>domains/subjects, the contextual data collected and the design specifications of the assessment program</w:t>
            </w:r>
          </w:p>
          <w:p w14:paraId="355A95EA"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Field operations manuals</w:t>
            </w:r>
          </w:p>
          <w:p w14:paraId="6F35F37E"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Other dissemination products of the assessment program</w:t>
            </w:r>
          </w:p>
          <w:p w14:paraId="03CB1F8A" w14:textId="1F4B58D3"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Reports on practices in 21</w:t>
            </w:r>
            <w:r w:rsidRPr="00B506BE">
              <w:rPr>
                <w:rFonts w:asciiTheme="minorHAnsi" w:hAnsiTheme="minorHAnsi"/>
                <w:sz w:val="21"/>
                <w:szCs w:val="21"/>
                <w:vertAlign w:val="superscript"/>
              </w:rPr>
              <w:t>st</w:t>
            </w:r>
            <w:r w:rsidRPr="00DC5464">
              <w:rPr>
                <w:rFonts w:asciiTheme="minorHAnsi" w:hAnsiTheme="minorHAnsi"/>
                <w:sz w:val="21"/>
                <w:szCs w:val="21"/>
              </w:rPr>
              <w:t xml:space="preserve"> century skills assessment (</w:t>
            </w:r>
            <w:r w:rsidR="004F35B7">
              <w:rPr>
                <w:rFonts w:asciiTheme="minorHAnsi" w:hAnsiTheme="minorHAnsi"/>
                <w:sz w:val="21"/>
                <w:szCs w:val="21"/>
              </w:rPr>
              <w:t xml:space="preserve">for example, </w:t>
            </w:r>
            <w:r w:rsidRPr="00DC5464">
              <w:rPr>
                <w:rFonts w:asciiTheme="minorHAnsi" w:hAnsiTheme="minorHAnsi"/>
                <w:sz w:val="21"/>
                <w:szCs w:val="21"/>
              </w:rPr>
              <w:t>studies undertaken for NEQMAP/TALENT)</w:t>
            </w:r>
          </w:p>
          <w:p w14:paraId="2285A0DD"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SABER questionnaires and reports</w:t>
            </w:r>
          </w:p>
          <w:p w14:paraId="7B790CCF" w14:textId="77777777" w:rsidR="00A94AC8"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Sampling design document, manual or guidelines</w:t>
            </w:r>
          </w:p>
          <w:p w14:paraId="46466539" w14:textId="6DED48D3" w:rsidR="007A4500" w:rsidRPr="00DC5464" w:rsidRDefault="00A94AC8"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Technical reports</w:t>
            </w:r>
          </w:p>
        </w:tc>
        <w:tc>
          <w:tcPr>
            <w:tcW w:w="1916" w:type="pct"/>
            <w:tcBorders>
              <w:top w:val="single" w:sz="4" w:space="0" w:color="D9D9D9" w:themeColor="background1" w:themeShade="D9"/>
              <w:left w:val="single" w:sz="4" w:space="0" w:color="BFBFBF"/>
              <w:bottom w:val="single" w:sz="4" w:space="0" w:color="D9D9D9" w:themeColor="background1" w:themeShade="D9"/>
            </w:tcBorders>
          </w:tcPr>
          <w:p w14:paraId="4D4AB2A7" w14:textId="77777777" w:rsidR="007A4500" w:rsidRPr="00DC5464" w:rsidRDefault="007A4500" w:rsidP="00DC5464">
            <w:pPr>
              <w:tabs>
                <w:tab w:val="left" w:pos="455"/>
              </w:tabs>
              <w:spacing w:before="80" w:after="80"/>
              <w:ind w:right="113"/>
              <w:rPr>
                <w:rFonts w:asciiTheme="minorHAnsi" w:hAnsiTheme="minorHAnsi"/>
                <w:sz w:val="21"/>
                <w:szCs w:val="21"/>
              </w:rPr>
            </w:pPr>
          </w:p>
        </w:tc>
      </w:tr>
      <w:tr w:rsidR="007A4500" w:rsidRPr="00DC5464" w14:paraId="59FE9C72" w14:textId="45B48616" w:rsidTr="00EE1582">
        <w:tc>
          <w:tcPr>
            <w:tcW w:w="923" w:type="pct"/>
            <w:tcBorders>
              <w:top w:val="single" w:sz="4" w:space="0" w:color="D9D9D9" w:themeColor="background1" w:themeShade="D9"/>
              <w:bottom w:val="single" w:sz="4" w:space="0" w:color="D9D9D9" w:themeColor="background1" w:themeShade="D9"/>
              <w:right w:val="single" w:sz="4" w:space="0" w:color="BFBFBF"/>
            </w:tcBorders>
            <w:shd w:val="clear" w:color="auto" w:fill="F2F2F2" w:themeFill="background1" w:themeFillShade="F2"/>
          </w:tcPr>
          <w:p w14:paraId="223EAEE2" w14:textId="44BABDF3" w:rsidR="007A4500" w:rsidRPr="00DC5464" w:rsidRDefault="007A4500" w:rsidP="00DC5464">
            <w:pPr>
              <w:pStyle w:val="ListParagraph"/>
              <w:widowControl/>
              <w:numPr>
                <w:ilvl w:val="0"/>
                <w:numId w:val="0"/>
              </w:numPr>
              <w:tabs>
                <w:tab w:val="clear" w:pos="818"/>
                <w:tab w:val="clear" w:pos="819"/>
                <w:tab w:val="left" w:pos="318"/>
              </w:tabs>
              <w:autoSpaceDE/>
              <w:autoSpaceDN/>
              <w:spacing w:before="80" w:after="80"/>
              <w:rPr>
                <w:rFonts w:asciiTheme="minorHAnsi" w:hAnsiTheme="minorHAnsi"/>
                <w:sz w:val="21"/>
                <w:szCs w:val="21"/>
              </w:rPr>
            </w:pPr>
            <w:r w:rsidRPr="00DC5464">
              <w:rPr>
                <w:rFonts w:asciiTheme="minorHAnsi" w:hAnsiTheme="minorHAnsi"/>
                <w:sz w:val="21"/>
                <w:szCs w:val="21"/>
              </w:rPr>
              <w:t xml:space="preserve">2B. Quality of </w:t>
            </w:r>
            <w:r w:rsidR="00DC5464">
              <w:rPr>
                <w:rFonts w:asciiTheme="minorHAnsi" w:hAnsiTheme="minorHAnsi"/>
                <w:sz w:val="21"/>
                <w:szCs w:val="21"/>
              </w:rPr>
              <w:t>c</w:t>
            </w:r>
            <w:r w:rsidRPr="00DC5464">
              <w:rPr>
                <w:rFonts w:asciiTheme="minorHAnsi" w:hAnsiTheme="minorHAnsi"/>
                <w:sz w:val="21"/>
                <w:szCs w:val="21"/>
              </w:rPr>
              <w:t>lassroom assessment</w:t>
            </w:r>
            <w:r w:rsidR="004F35B7">
              <w:rPr>
                <w:rFonts w:asciiTheme="minorHAnsi" w:hAnsiTheme="minorHAnsi"/>
                <w:sz w:val="21"/>
                <w:szCs w:val="21"/>
              </w:rPr>
              <w:t xml:space="preserve"> (QCA)</w:t>
            </w:r>
          </w:p>
        </w:tc>
        <w:tc>
          <w:tcPr>
            <w:tcW w:w="570" w:type="pct"/>
            <w:tcBorders>
              <w:top w:val="single" w:sz="4" w:space="0" w:color="D9D9D9" w:themeColor="background1" w:themeShade="D9"/>
              <w:left w:val="single" w:sz="4" w:space="0" w:color="BFBFBF"/>
              <w:bottom w:val="single" w:sz="4" w:space="0" w:color="D9D9D9" w:themeColor="background1" w:themeShade="D9"/>
            </w:tcBorders>
          </w:tcPr>
          <w:p w14:paraId="59C7DBE2" w14:textId="171499AA" w:rsidR="007A4500" w:rsidRPr="00DC5464" w:rsidRDefault="00251783" w:rsidP="00DC5464">
            <w:pPr>
              <w:tabs>
                <w:tab w:val="left" w:pos="33"/>
                <w:tab w:val="left" w:pos="459"/>
              </w:tabs>
              <w:spacing w:before="80" w:after="80"/>
              <w:ind w:left="33"/>
              <w:rPr>
                <w:rFonts w:asciiTheme="minorHAnsi" w:hAnsiTheme="minorHAnsi"/>
                <w:sz w:val="21"/>
                <w:szCs w:val="21"/>
              </w:rPr>
            </w:pPr>
            <w:r w:rsidRPr="00DC5464">
              <w:rPr>
                <w:rFonts w:asciiTheme="minorHAnsi" w:hAnsiTheme="minorHAnsi"/>
                <w:sz w:val="21"/>
                <w:szCs w:val="21"/>
              </w:rPr>
              <w:t>Program level</w:t>
            </w:r>
          </w:p>
        </w:tc>
        <w:tc>
          <w:tcPr>
            <w:tcW w:w="1591" w:type="pct"/>
            <w:tcBorders>
              <w:top w:val="single" w:sz="4" w:space="0" w:color="D9D9D9" w:themeColor="background1" w:themeShade="D9"/>
              <w:left w:val="single" w:sz="4" w:space="0" w:color="BFBFBF"/>
              <w:bottom w:val="single" w:sz="4" w:space="0" w:color="D9D9D9" w:themeColor="background1" w:themeShade="D9"/>
            </w:tcBorders>
          </w:tcPr>
          <w:p w14:paraId="605A7054" w14:textId="7777777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Course/module descriptions of training programs for school principals and teachers (pre-service and in-service)</w:t>
            </w:r>
          </w:p>
          <w:p w14:paraId="08943616" w14:textId="7777777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Curriculum and curriculum documents</w:t>
            </w:r>
          </w:p>
          <w:p w14:paraId="38EBAF3A" w14:textId="7777777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Guidelines for classroom assessment</w:t>
            </w:r>
          </w:p>
          <w:p w14:paraId="44AE179E" w14:textId="7777777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Guidelines on school inspection</w:t>
            </w:r>
          </w:p>
          <w:p w14:paraId="65CCD02E" w14:textId="7777777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In-service resources and tools</w:t>
            </w:r>
          </w:p>
          <w:p w14:paraId="7D5B4EFF" w14:textId="7777777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Recommendations for classroom assessment</w:t>
            </w:r>
          </w:p>
          <w:p w14:paraId="32F2881F" w14:textId="68CDE1C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Reports on practices in 21</w:t>
            </w:r>
            <w:r w:rsidRPr="00B506BE">
              <w:rPr>
                <w:rFonts w:asciiTheme="minorHAnsi" w:hAnsiTheme="minorHAnsi"/>
                <w:sz w:val="21"/>
                <w:szCs w:val="21"/>
                <w:vertAlign w:val="superscript"/>
              </w:rPr>
              <w:t>st</w:t>
            </w:r>
            <w:r w:rsidRPr="00DC5464">
              <w:rPr>
                <w:rFonts w:asciiTheme="minorHAnsi" w:hAnsiTheme="minorHAnsi"/>
                <w:sz w:val="21"/>
                <w:szCs w:val="21"/>
              </w:rPr>
              <w:t xml:space="preserve"> century skills assessment (</w:t>
            </w:r>
            <w:r w:rsidR="004F35B7">
              <w:rPr>
                <w:rFonts w:asciiTheme="minorHAnsi" w:hAnsiTheme="minorHAnsi"/>
                <w:sz w:val="21"/>
                <w:szCs w:val="21"/>
              </w:rPr>
              <w:t>for example,</w:t>
            </w:r>
            <w:r w:rsidRPr="00DC5464">
              <w:rPr>
                <w:rFonts w:asciiTheme="minorHAnsi" w:hAnsiTheme="minorHAnsi"/>
                <w:sz w:val="21"/>
                <w:szCs w:val="21"/>
              </w:rPr>
              <w:t xml:space="preserve"> studies undertaken for NEQMAP/TALENT)</w:t>
            </w:r>
          </w:p>
          <w:p w14:paraId="1D5CCDED" w14:textId="7777777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Resources and tools used for quality assurance of classroom assessment</w:t>
            </w:r>
          </w:p>
          <w:p w14:paraId="0C54CD93" w14:textId="77777777" w:rsidR="00E458DF"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t>SABER questionnaires and reports</w:t>
            </w:r>
          </w:p>
          <w:p w14:paraId="634B4763" w14:textId="2C5F3707" w:rsidR="007A4500" w:rsidRPr="00DC5464" w:rsidRDefault="00E458DF" w:rsidP="00DC5464">
            <w:pPr>
              <w:pStyle w:val="ListParagraph"/>
              <w:numPr>
                <w:ilvl w:val="0"/>
                <w:numId w:val="15"/>
              </w:numPr>
              <w:tabs>
                <w:tab w:val="clear" w:pos="818"/>
                <w:tab w:val="clear" w:pos="819"/>
                <w:tab w:val="left" w:pos="302"/>
                <w:tab w:val="left" w:pos="631"/>
              </w:tabs>
              <w:spacing w:before="80" w:after="80"/>
              <w:ind w:left="302" w:right="113" w:hanging="302"/>
              <w:rPr>
                <w:rFonts w:asciiTheme="minorHAnsi" w:hAnsiTheme="minorHAnsi"/>
                <w:iCs/>
                <w:sz w:val="21"/>
                <w:szCs w:val="21"/>
              </w:rPr>
            </w:pPr>
            <w:r w:rsidRPr="00DC5464">
              <w:rPr>
                <w:rFonts w:asciiTheme="minorHAnsi" w:hAnsiTheme="minorHAnsi"/>
                <w:sz w:val="21"/>
                <w:szCs w:val="21"/>
              </w:rPr>
              <w:lastRenderedPageBreak/>
              <w:t>Samples of classroom assessment resources and tools</w:t>
            </w:r>
          </w:p>
        </w:tc>
        <w:tc>
          <w:tcPr>
            <w:tcW w:w="1916" w:type="pct"/>
            <w:tcBorders>
              <w:top w:val="single" w:sz="4" w:space="0" w:color="D9D9D9" w:themeColor="background1" w:themeShade="D9"/>
              <w:left w:val="single" w:sz="4" w:space="0" w:color="BFBFBF"/>
              <w:bottom w:val="single" w:sz="4" w:space="0" w:color="D9D9D9" w:themeColor="background1" w:themeShade="D9"/>
            </w:tcBorders>
          </w:tcPr>
          <w:p w14:paraId="3988D688" w14:textId="77777777" w:rsidR="007A4500" w:rsidRPr="00DC5464" w:rsidRDefault="007A4500" w:rsidP="00DC5464">
            <w:pPr>
              <w:tabs>
                <w:tab w:val="left" w:pos="631"/>
              </w:tabs>
              <w:spacing w:before="80" w:after="80"/>
              <w:ind w:right="113"/>
              <w:rPr>
                <w:rFonts w:asciiTheme="minorHAnsi" w:hAnsiTheme="minorHAnsi"/>
                <w:sz w:val="21"/>
                <w:szCs w:val="21"/>
              </w:rPr>
            </w:pPr>
          </w:p>
        </w:tc>
      </w:tr>
      <w:tr w:rsidR="007A4500" w:rsidRPr="00DC5464" w14:paraId="2D592FA2" w14:textId="519ADF65" w:rsidTr="00EE1582">
        <w:tc>
          <w:tcPr>
            <w:tcW w:w="923" w:type="pct"/>
            <w:tcBorders>
              <w:top w:val="single" w:sz="4" w:space="0" w:color="D9D9D9" w:themeColor="background1" w:themeShade="D9"/>
              <w:bottom w:val="single" w:sz="4" w:space="0" w:color="D9D9D9" w:themeColor="background1" w:themeShade="D9"/>
              <w:right w:val="single" w:sz="4" w:space="0" w:color="BFBFBF"/>
            </w:tcBorders>
            <w:shd w:val="clear" w:color="auto" w:fill="F2F2F2" w:themeFill="background1" w:themeFillShade="F2"/>
          </w:tcPr>
          <w:p w14:paraId="17C4A871" w14:textId="0882CF85" w:rsidR="007A4500" w:rsidRPr="00DC5464" w:rsidRDefault="007A4500" w:rsidP="00DC5464">
            <w:pPr>
              <w:widowControl/>
              <w:tabs>
                <w:tab w:val="left" w:pos="318"/>
              </w:tabs>
              <w:autoSpaceDE/>
              <w:autoSpaceDN/>
              <w:spacing w:before="80" w:after="80"/>
              <w:ind w:left="34"/>
              <w:rPr>
                <w:rFonts w:asciiTheme="minorHAnsi" w:hAnsiTheme="minorHAnsi"/>
                <w:sz w:val="21"/>
                <w:szCs w:val="21"/>
              </w:rPr>
            </w:pPr>
            <w:r w:rsidRPr="00DC5464">
              <w:rPr>
                <w:rFonts w:asciiTheme="minorHAnsi" w:hAnsiTheme="minorHAnsi"/>
                <w:sz w:val="21"/>
                <w:szCs w:val="21"/>
              </w:rPr>
              <w:t>3. Coherence of the assessment system</w:t>
            </w:r>
            <w:r w:rsidR="004F35B7">
              <w:rPr>
                <w:rFonts w:asciiTheme="minorHAnsi" w:hAnsiTheme="minorHAnsi"/>
                <w:sz w:val="21"/>
                <w:szCs w:val="21"/>
              </w:rPr>
              <w:t xml:space="preserve"> (CH)</w:t>
            </w:r>
          </w:p>
        </w:tc>
        <w:tc>
          <w:tcPr>
            <w:tcW w:w="570" w:type="pct"/>
            <w:tcBorders>
              <w:top w:val="single" w:sz="4" w:space="0" w:color="D9D9D9" w:themeColor="background1" w:themeShade="D9"/>
              <w:left w:val="single" w:sz="4" w:space="0" w:color="BFBFBF"/>
              <w:bottom w:val="single" w:sz="4" w:space="0" w:color="D9D9D9" w:themeColor="background1" w:themeShade="D9"/>
            </w:tcBorders>
          </w:tcPr>
          <w:p w14:paraId="6E7EC785" w14:textId="77777777" w:rsidR="007A4500" w:rsidRPr="00DC5464" w:rsidRDefault="007A4500" w:rsidP="00DC5464">
            <w:pPr>
              <w:tabs>
                <w:tab w:val="left" w:pos="33"/>
                <w:tab w:val="left" w:pos="459"/>
              </w:tabs>
              <w:spacing w:before="80" w:after="80"/>
              <w:ind w:left="33"/>
              <w:rPr>
                <w:rFonts w:asciiTheme="minorHAnsi" w:hAnsiTheme="minorHAnsi"/>
                <w:sz w:val="21"/>
                <w:szCs w:val="21"/>
              </w:rPr>
            </w:pPr>
            <w:r w:rsidRPr="00DC5464">
              <w:rPr>
                <w:rFonts w:asciiTheme="minorHAnsi" w:hAnsiTheme="minorHAnsi"/>
                <w:sz w:val="21"/>
                <w:szCs w:val="21"/>
              </w:rPr>
              <w:t>System level</w:t>
            </w:r>
          </w:p>
        </w:tc>
        <w:tc>
          <w:tcPr>
            <w:tcW w:w="1591" w:type="pct"/>
            <w:tcBorders>
              <w:top w:val="single" w:sz="4" w:space="0" w:color="D9D9D9" w:themeColor="background1" w:themeShade="D9"/>
              <w:left w:val="single" w:sz="4" w:space="0" w:color="BFBFBF"/>
              <w:bottom w:val="single" w:sz="4" w:space="0" w:color="D9D9D9" w:themeColor="background1" w:themeShade="D9"/>
            </w:tcBorders>
          </w:tcPr>
          <w:p w14:paraId="66C236FB" w14:textId="77777777" w:rsidR="00E458DF" w:rsidRPr="00DC5464" w:rsidRDefault="00E458DF"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Assessment frameworks</w:t>
            </w:r>
          </w:p>
          <w:p w14:paraId="43C416D2" w14:textId="77777777" w:rsidR="00E458DF" w:rsidRPr="00DC5464" w:rsidRDefault="00E458DF"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Curriculum and curriculum documents</w:t>
            </w:r>
          </w:p>
          <w:p w14:paraId="54AC55BF" w14:textId="77777777" w:rsidR="00E458DF" w:rsidRPr="00DC5464" w:rsidRDefault="00E458DF"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Education sector analysis</w:t>
            </w:r>
          </w:p>
          <w:p w14:paraId="726269F5" w14:textId="77777777" w:rsidR="00E458DF" w:rsidRPr="00DC5464" w:rsidRDefault="00E458DF"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Education sector plans</w:t>
            </w:r>
          </w:p>
          <w:p w14:paraId="4487D995" w14:textId="77777777" w:rsidR="00E458DF" w:rsidRPr="00DC5464" w:rsidRDefault="00E458DF"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EMIS database</w:t>
            </w:r>
          </w:p>
          <w:p w14:paraId="2AB31374" w14:textId="77777777" w:rsidR="00E458DF" w:rsidRPr="00DC5464" w:rsidRDefault="00E458DF"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Media reports on learning assessment</w:t>
            </w:r>
          </w:p>
          <w:p w14:paraId="32FE1951" w14:textId="3D5B8681" w:rsidR="00E458DF" w:rsidRPr="00DC5464" w:rsidRDefault="00E458DF"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Reports on practices in 21</w:t>
            </w:r>
            <w:r w:rsidRPr="00B506BE">
              <w:rPr>
                <w:rFonts w:asciiTheme="minorHAnsi" w:hAnsiTheme="minorHAnsi"/>
                <w:sz w:val="21"/>
                <w:szCs w:val="21"/>
                <w:vertAlign w:val="superscript"/>
              </w:rPr>
              <w:t>st</w:t>
            </w:r>
            <w:r w:rsidRPr="00DC5464">
              <w:rPr>
                <w:rFonts w:asciiTheme="minorHAnsi" w:hAnsiTheme="minorHAnsi"/>
                <w:sz w:val="21"/>
                <w:szCs w:val="21"/>
              </w:rPr>
              <w:t xml:space="preserve"> century skills assessment (</w:t>
            </w:r>
            <w:r w:rsidR="004F35B7">
              <w:rPr>
                <w:rFonts w:asciiTheme="minorHAnsi" w:hAnsiTheme="minorHAnsi"/>
                <w:sz w:val="21"/>
                <w:szCs w:val="21"/>
              </w:rPr>
              <w:t>for example,</w:t>
            </w:r>
            <w:r w:rsidRPr="00DC5464">
              <w:rPr>
                <w:rFonts w:asciiTheme="minorHAnsi" w:hAnsiTheme="minorHAnsi"/>
                <w:sz w:val="21"/>
                <w:szCs w:val="21"/>
              </w:rPr>
              <w:t xml:space="preserve"> studies undertaken for NEQMAP/TALENT)</w:t>
            </w:r>
          </w:p>
          <w:p w14:paraId="10B93CAB" w14:textId="591DF98A" w:rsidR="007A4500" w:rsidRPr="00DC5464" w:rsidRDefault="00E458DF" w:rsidP="00DC5464">
            <w:pPr>
              <w:pStyle w:val="ListParagraph"/>
              <w:numPr>
                <w:ilvl w:val="0"/>
                <w:numId w:val="15"/>
              </w:numPr>
              <w:tabs>
                <w:tab w:val="clear" w:pos="818"/>
                <w:tab w:val="clear" w:pos="819"/>
                <w:tab w:val="left" w:pos="302"/>
              </w:tabs>
              <w:spacing w:before="80" w:after="80"/>
              <w:ind w:left="302" w:right="113" w:hanging="302"/>
              <w:rPr>
                <w:rFonts w:asciiTheme="minorHAnsi" w:hAnsiTheme="minorHAnsi"/>
                <w:iCs/>
                <w:sz w:val="21"/>
                <w:szCs w:val="21"/>
              </w:rPr>
            </w:pPr>
            <w:r w:rsidRPr="00DC5464">
              <w:rPr>
                <w:rFonts w:asciiTheme="minorHAnsi" w:hAnsiTheme="minorHAnsi"/>
                <w:sz w:val="21"/>
                <w:szCs w:val="21"/>
              </w:rPr>
              <w:t>SABER questionnaires and reports</w:t>
            </w:r>
          </w:p>
        </w:tc>
        <w:tc>
          <w:tcPr>
            <w:tcW w:w="1916" w:type="pct"/>
            <w:tcBorders>
              <w:top w:val="single" w:sz="4" w:space="0" w:color="D9D9D9" w:themeColor="background1" w:themeShade="D9"/>
              <w:left w:val="single" w:sz="4" w:space="0" w:color="BFBFBF"/>
              <w:bottom w:val="single" w:sz="4" w:space="0" w:color="D9D9D9" w:themeColor="background1" w:themeShade="D9"/>
            </w:tcBorders>
          </w:tcPr>
          <w:p w14:paraId="3D79042D" w14:textId="77777777" w:rsidR="007A4500" w:rsidRPr="00DC5464" w:rsidRDefault="007A4500" w:rsidP="00DC5464">
            <w:pPr>
              <w:tabs>
                <w:tab w:val="left" w:pos="455"/>
              </w:tabs>
              <w:spacing w:before="80" w:after="80"/>
              <w:ind w:right="113"/>
              <w:rPr>
                <w:rFonts w:asciiTheme="minorHAnsi" w:hAnsiTheme="minorHAnsi"/>
                <w:sz w:val="21"/>
                <w:szCs w:val="21"/>
              </w:rPr>
            </w:pPr>
          </w:p>
        </w:tc>
      </w:tr>
    </w:tbl>
    <w:p w14:paraId="0174D74C" w14:textId="77777777" w:rsidR="00EC6621" w:rsidRPr="005C31EE" w:rsidRDefault="00EC6621" w:rsidP="005C31EE">
      <w:pPr>
        <w:spacing w:before="80" w:after="80"/>
        <w:ind w:right="113"/>
        <w:rPr>
          <w:rFonts w:asciiTheme="minorHAnsi" w:hAnsiTheme="minorHAnsi"/>
          <w:iCs/>
          <w:sz w:val="21"/>
          <w:szCs w:val="21"/>
        </w:rPr>
      </w:pPr>
    </w:p>
    <w:sectPr w:rsidR="00EC6621" w:rsidRPr="005C31EE" w:rsidSect="004F35B7">
      <w:headerReference w:type="default" r:id="rId7"/>
      <w:footerReference w:type="default" r:id="rId8"/>
      <w:pgSz w:w="16838" w:h="11906" w:orient="landscape"/>
      <w:pgMar w:top="1440" w:right="1440" w:bottom="1247" w:left="1440" w:header="709"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BB33" w14:textId="77777777" w:rsidR="00EC6621" w:rsidRDefault="00EC6621" w:rsidP="00EC6621">
      <w:pPr>
        <w:spacing w:before="0" w:after="0"/>
      </w:pPr>
      <w:r>
        <w:separator/>
      </w:r>
    </w:p>
  </w:endnote>
  <w:endnote w:type="continuationSeparator" w:id="0">
    <w:p w14:paraId="394E7DA9" w14:textId="77777777" w:rsidR="00EC6621" w:rsidRDefault="00EC6621" w:rsidP="00EC66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04051" w14:textId="0DA04308" w:rsidR="004F35B7" w:rsidRPr="004F35B7" w:rsidRDefault="004F35B7" w:rsidP="004F35B7">
    <w:pPr>
      <w:pStyle w:val="Footer"/>
      <w:tabs>
        <w:tab w:val="right" w:pos="13892"/>
      </w:tabs>
      <w:rPr>
        <w:color w:val="7030A0"/>
        <w:sz w:val="18"/>
        <w:szCs w:val="18"/>
      </w:rPr>
    </w:pPr>
    <w:r w:rsidRPr="004F35B7">
      <w:rPr>
        <w:color w:val="7030A0"/>
        <w:sz w:val="18"/>
        <w:szCs w:val="18"/>
      </w:rPr>
      <w:t>Analysis of National Learning Assessment Systems</w:t>
    </w:r>
    <w:r>
      <w:rPr>
        <w:color w:val="7030A0"/>
        <w:sz w:val="18"/>
        <w:szCs w:val="18"/>
      </w:rPr>
      <w:tab/>
    </w:r>
    <w:r>
      <w:rPr>
        <w:color w:val="7030A0"/>
        <w:sz w:val="18"/>
        <w:szCs w:val="18"/>
      </w:rPr>
      <w:tab/>
    </w:r>
    <w:r>
      <w:rPr>
        <w:color w:val="7030A0"/>
        <w:sz w:val="18"/>
        <w:szCs w:val="18"/>
      </w:rPr>
      <w:tab/>
    </w:r>
    <w:r>
      <w:rPr>
        <w:color w:val="7030A0"/>
        <w:sz w:val="18"/>
        <w:szCs w:val="18"/>
      </w:rPr>
      <w:fldChar w:fldCharType="begin"/>
    </w:r>
    <w:r>
      <w:rPr>
        <w:color w:val="7030A0"/>
        <w:sz w:val="18"/>
        <w:szCs w:val="18"/>
      </w:rPr>
      <w:instrText xml:space="preserve"> PAGE   \* MERGEFORMAT </w:instrText>
    </w:r>
    <w:r>
      <w:rPr>
        <w:color w:val="7030A0"/>
        <w:sz w:val="18"/>
        <w:szCs w:val="18"/>
      </w:rPr>
      <w:fldChar w:fldCharType="separate"/>
    </w:r>
    <w:r w:rsidR="00835367">
      <w:rPr>
        <w:noProof/>
        <w:color w:val="7030A0"/>
        <w:sz w:val="18"/>
        <w:szCs w:val="18"/>
      </w:rPr>
      <w:t>2</w:t>
    </w:r>
    <w:r>
      <w:rPr>
        <w:color w:val="7030A0"/>
        <w:sz w:val="18"/>
        <w:szCs w:val="18"/>
      </w:rPr>
      <w:fldChar w:fldCharType="end"/>
    </w:r>
  </w:p>
  <w:p w14:paraId="62CB881B" w14:textId="4829AE9D" w:rsidR="004F35B7" w:rsidRPr="004F35B7" w:rsidRDefault="004F35B7" w:rsidP="004F35B7">
    <w:pPr>
      <w:pStyle w:val="Footer"/>
      <w:rPr>
        <w:i/>
        <w:color w:val="7030A0"/>
        <w:sz w:val="18"/>
        <w:szCs w:val="18"/>
      </w:rPr>
    </w:pPr>
    <w:r>
      <w:rPr>
        <w:i/>
        <w:color w:val="7030A0"/>
        <w:sz w:val="18"/>
        <w:szCs w:val="18"/>
      </w:rPr>
      <w:t>Stakeholder and document mapping tables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3EBF" w14:textId="77777777" w:rsidR="00EC6621" w:rsidRDefault="00EC6621" w:rsidP="00EC6621">
      <w:pPr>
        <w:spacing w:before="0" w:after="0"/>
      </w:pPr>
      <w:r>
        <w:separator/>
      </w:r>
    </w:p>
  </w:footnote>
  <w:footnote w:type="continuationSeparator" w:id="0">
    <w:p w14:paraId="11EFD5D4" w14:textId="77777777" w:rsidR="00EC6621" w:rsidRDefault="00EC6621" w:rsidP="00EC6621">
      <w:pPr>
        <w:spacing w:before="0" w:after="0"/>
      </w:pPr>
      <w:r>
        <w:continuationSeparator/>
      </w:r>
    </w:p>
  </w:footnote>
  <w:footnote w:id="1">
    <w:p w14:paraId="5AD62B64" w14:textId="77777777" w:rsidR="00A94AC8" w:rsidRDefault="00A94AC8" w:rsidP="00A94AC8">
      <w:pPr>
        <w:pStyle w:val="FootnoteText"/>
      </w:pPr>
      <w:r>
        <w:rPr>
          <w:rStyle w:val="FootnoteReference"/>
        </w:rPr>
        <w:footnoteRef/>
      </w:r>
      <w:r>
        <w:t xml:space="preserve"> All GPE-related documents can be obtained from your country’s GPE Coordinating Agency or Grant Agent.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6D82" w14:textId="14113BA8" w:rsidR="007F3925" w:rsidRDefault="007F3925">
    <w:pPr>
      <w:pStyle w:val="Header"/>
    </w:pPr>
    <w:r>
      <w:rPr>
        <w:noProof/>
        <w:lang w:val="en-AU" w:eastAsia="en-AU"/>
      </w:rPr>
      <w:drawing>
        <wp:anchor distT="0" distB="0" distL="114300" distR="114300" simplePos="0" relativeHeight="251660288" behindDoc="0" locked="0" layoutInCell="1" allowOverlap="1" wp14:anchorId="4EF27FBA" wp14:editId="5E57D84A">
          <wp:simplePos x="0" y="0"/>
          <wp:positionH relativeFrom="margin">
            <wp:align>left</wp:align>
          </wp:positionH>
          <wp:positionV relativeFrom="paragraph">
            <wp:posOffset>-166370</wp:posOffset>
          </wp:positionV>
          <wp:extent cx="1009996" cy="76560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996" cy="765602"/>
                  </a:xfrm>
                  <a:prstGeom prst="rect">
                    <a:avLst/>
                  </a:prstGeom>
                </pic:spPr>
              </pic:pic>
            </a:graphicData>
          </a:graphic>
        </wp:anchor>
      </w:drawing>
    </w:r>
  </w:p>
  <w:p w14:paraId="0168C71B" w14:textId="0671B234" w:rsidR="007F3925" w:rsidRDefault="007F3925">
    <w:pPr>
      <w:pStyle w:val="Header"/>
    </w:pPr>
    <w:r>
      <w:rPr>
        <w:noProof/>
        <w:lang w:val="en-AU" w:eastAsia="en-AU"/>
      </w:rPr>
      <w:drawing>
        <wp:anchor distT="0" distB="0" distL="114300" distR="114300" simplePos="0" relativeHeight="251659264" behindDoc="0" locked="0" layoutInCell="1" allowOverlap="1" wp14:anchorId="07493A6C" wp14:editId="7171CD40">
          <wp:simplePos x="0" y="0"/>
          <wp:positionH relativeFrom="margin">
            <wp:align>right</wp:align>
          </wp:positionH>
          <wp:positionV relativeFrom="paragraph">
            <wp:posOffset>4445</wp:posOffset>
          </wp:positionV>
          <wp:extent cx="1006475" cy="342900"/>
          <wp:effectExtent l="0" t="0" r="3175" b="0"/>
          <wp:wrapNone/>
          <wp:docPr id="10" name="Picture 10"/>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06475" cy="342900"/>
                  </a:xfrm>
                  <a:prstGeom prst="rect">
                    <a:avLst/>
                  </a:prstGeom>
                </pic:spPr>
              </pic:pic>
            </a:graphicData>
          </a:graphic>
        </wp:anchor>
      </w:drawing>
    </w:r>
  </w:p>
  <w:p w14:paraId="2BAB1719" w14:textId="1E0ECBE7" w:rsidR="007F3925" w:rsidRDefault="007F3925">
    <w:pPr>
      <w:pStyle w:val="Header"/>
    </w:pPr>
  </w:p>
  <w:p w14:paraId="5DA1EE14" w14:textId="0F889967" w:rsidR="007F3925" w:rsidRDefault="007F3925">
    <w:pPr>
      <w:pStyle w:val="Header"/>
    </w:pPr>
  </w:p>
  <w:p w14:paraId="76FFE2B8" w14:textId="27B68036" w:rsidR="00DF4CA2" w:rsidRPr="004F35B7" w:rsidRDefault="00DF4CA2">
    <w:pPr>
      <w:pStyle w:val="Header"/>
      <w:rPr>
        <w:color w:val="7030A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677"/>
    <w:multiLevelType w:val="hybridMultilevel"/>
    <w:tmpl w:val="E0188862"/>
    <w:lvl w:ilvl="0" w:tplc="AC166232">
      <w:start w:val="1"/>
      <w:numFmt w:val="bullet"/>
      <w:pStyle w:val="listbullet"/>
      <w:lvlText w:val=""/>
      <w:lvlJc w:val="left"/>
      <w:pPr>
        <w:ind w:left="821" w:hanging="360"/>
      </w:pPr>
      <w:rPr>
        <w:rFonts w:ascii="Symbol" w:hAnsi="Symbol" w:hint="default"/>
        <w:color w:val="803F91"/>
      </w:r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1" w15:restartNumberingAfterBreak="0">
    <w:nsid w:val="0C0D0C53"/>
    <w:multiLevelType w:val="hybridMultilevel"/>
    <w:tmpl w:val="F83A4B62"/>
    <w:lvl w:ilvl="0" w:tplc="247042C8">
      <w:start w:val="1"/>
      <w:numFmt w:val="bullet"/>
      <w:lvlText w:val=""/>
      <w:lvlJc w:val="left"/>
      <w:pPr>
        <w:ind w:left="1287" w:hanging="360"/>
      </w:pPr>
      <w:rPr>
        <w:rFonts w:ascii="Symbol" w:hAnsi="Symbol" w:hint="default"/>
        <w:color w:val="803F9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EB55F44"/>
    <w:multiLevelType w:val="hybridMultilevel"/>
    <w:tmpl w:val="1C9600C8"/>
    <w:lvl w:ilvl="0" w:tplc="FD94A3A2">
      <w:start w:val="1"/>
      <w:numFmt w:val="decimal"/>
      <w:pStyle w:val="NumberedBody"/>
      <w:lvlText w:val="%1."/>
      <w:lvlJc w:val="left"/>
      <w:pPr>
        <w:ind w:left="458" w:hanging="358"/>
      </w:pPr>
      <w:rPr>
        <w:rFonts w:ascii="Calibri" w:eastAsia="Calibri" w:hAnsi="Calibri" w:cs="Calibri" w:hint="default"/>
        <w:w w:val="100"/>
        <w:sz w:val="23"/>
        <w:szCs w:val="23"/>
      </w:rPr>
    </w:lvl>
    <w:lvl w:ilvl="1" w:tplc="DC147F3C">
      <w:numFmt w:val="bullet"/>
      <w:pStyle w:val="ListParagraph"/>
      <w:lvlText w:val=""/>
      <w:lvlJc w:val="left"/>
      <w:pPr>
        <w:ind w:left="818" w:hanging="360"/>
      </w:pPr>
      <w:rPr>
        <w:rFonts w:ascii="Symbol" w:eastAsia="Symbol" w:hAnsi="Symbol" w:cs="Symbol" w:hint="default"/>
        <w:color w:val="803E91"/>
        <w:w w:val="100"/>
        <w:sz w:val="23"/>
        <w:szCs w:val="23"/>
      </w:rPr>
    </w:lvl>
    <w:lvl w:ilvl="2" w:tplc="32D6A85E">
      <w:numFmt w:val="bullet"/>
      <w:lvlText w:val="•"/>
      <w:lvlJc w:val="left"/>
      <w:pPr>
        <w:ind w:left="1178" w:hanging="360"/>
      </w:pPr>
      <w:rPr>
        <w:rFonts w:ascii="Courier New" w:eastAsia="Courier New" w:hAnsi="Courier New" w:cs="Courier New" w:hint="default"/>
        <w:w w:val="100"/>
        <w:sz w:val="23"/>
        <w:szCs w:val="23"/>
      </w:rPr>
    </w:lvl>
    <w:lvl w:ilvl="3" w:tplc="311C465E">
      <w:numFmt w:val="bullet"/>
      <w:lvlText w:val="•"/>
      <w:lvlJc w:val="left"/>
      <w:pPr>
        <w:ind w:left="2560" w:hanging="360"/>
      </w:pPr>
      <w:rPr>
        <w:rFonts w:hint="default"/>
      </w:rPr>
    </w:lvl>
    <w:lvl w:ilvl="4" w:tplc="FFECC248">
      <w:numFmt w:val="bullet"/>
      <w:lvlText w:val="•"/>
      <w:lvlJc w:val="left"/>
      <w:pPr>
        <w:ind w:left="3940" w:hanging="360"/>
      </w:pPr>
      <w:rPr>
        <w:rFonts w:hint="default"/>
      </w:rPr>
    </w:lvl>
    <w:lvl w:ilvl="5" w:tplc="C1300908">
      <w:numFmt w:val="bullet"/>
      <w:lvlText w:val="•"/>
      <w:lvlJc w:val="left"/>
      <w:pPr>
        <w:ind w:left="5320" w:hanging="360"/>
      </w:pPr>
      <w:rPr>
        <w:rFonts w:hint="default"/>
      </w:rPr>
    </w:lvl>
    <w:lvl w:ilvl="6" w:tplc="ECFAC26C">
      <w:numFmt w:val="bullet"/>
      <w:lvlText w:val="•"/>
      <w:lvlJc w:val="left"/>
      <w:pPr>
        <w:ind w:left="6700" w:hanging="360"/>
      </w:pPr>
      <w:rPr>
        <w:rFonts w:hint="default"/>
      </w:rPr>
    </w:lvl>
    <w:lvl w:ilvl="7" w:tplc="45265498">
      <w:numFmt w:val="bullet"/>
      <w:lvlText w:val="•"/>
      <w:lvlJc w:val="left"/>
      <w:pPr>
        <w:ind w:left="8080" w:hanging="360"/>
      </w:pPr>
      <w:rPr>
        <w:rFonts w:hint="default"/>
      </w:rPr>
    </w:lvl>
    <w:lvl w:ilvl="8" w:tplc="9E6AE282">
      <w:numFmt w:val="bullet"/>
      <w:lvlText w:val="•"/>
      <w:lvlJc w:val="left"/>
      <w:pPr>
        <w:ind w:left="9460" w:hanging="360"/>
      </w:pPr>
      <w:rPr>
        <w:rFonts w:hint="default"/>
      </w:rPr>
    </w:lvl>
  </w:abstractNum>
  <w:abstractNum w:abstractNumId="3" w15:restartNumberingAfterBreak="0">
    <w:nsid w:val="18D30745"/>
    <w:multiLevelType w:val="hybridMultilevel"/>
    <w:tmpl w:val="0520FAD2"/>
    <w:lvl w:ilvl="0" w:tplc="247042C8">
      <w:start w:val="1"/>
      <w:numFmt w:val="bullet"/>
      <w:lvlText w:val=""/>
      <w:lvlJc w:val="left"/>
      <w:pPr>
        <w:ind w:left="720" w:hanging="360"/>
      </w:pPr>
      <w:rPr>
        <w:rFonts w:ascii="Symbol" w:hAnsi="Symbol" w:hint="default"/>
        <w:color w:val="803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2631E"/>
    <w:multiLevelType w:val="hybridMultilevel"/>
    <w:tmpl w:val="517A3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B25B99"/>
    <w:multiLevelType w:val="hybridMultilevel"/>
    <w:tmpl w:val="5F48E1CC"/>
    <w:lvl w:ilvl="0" w:tplc="FD94A3A2">
      <w:start w:val="1"/>
      <w:numFmt w:val="decimal"/>
      <w:lvlText w:val="%1."/>
      <w:lvlJc w:val="left"/>
      <w:pPr>
        <w:ind w:left="458" w:hanging="358"/>
      </w:pPr>
      <w:rPr>
        <w:rFonts w:ascii="Calibri" w:eastAsia="Calibri" w:hAnsi="Calibri" w:cs="Calibri" w:hint="default"/>
        <w:w w:val="100"/>
        <w:sz w:val="23"/>
        <w:szCs w:val="23"/>
      </w:rPr>
    </w:lvl>
    <w:lvl w:ilvl="1" w:tplc="DC147F3C">
      <w:numFmt w:val="bullet"/>
      <w:lvlText w:val=""/>
      <w:lvlJc w:val="left"/>
      <w:pPr>
        <w:ind w:left="818" w:hanging="360"/>
      </w:pPr>
      <w:rPr>
        <w:rFonts w:ascii="Symbol" w:eastAsia="Symbol" w:hAnsi="Symbol" w:cs="Symbol" w:hint="default"/>
        <w:color w:val="803E91"/>
        <w:w w:val="100"/>
        <w:sz w:val="23"/>
        <w:szCs w:val="23"/>
      </w:rPr>
    </w:lvl>
    <w:lvl w:ilvl="2" w:tplc="0F40490A">
      <w:start w:val="1"/>
      <w:numFmt w:val="bullet"/>
      <w:pStyle w:val="sublistbullet"/>
      <w:lvlText w:val="­"/>
      <w:lvlJc w:val="left"/>
      <w:pPr>
        <w:ind w:left="1178" w:hanging="360"/>
      </w:pPr>
      <w:rPr>
        <w:rFonts w:ascii="Courier New" w:hAnsi="Courier New" w:hint="default"/>
        <w:color w:val="803F91"/>
        <w:w w:val="100"/>
        <w:sz w:val="23"/>
        <w:szCs w:val="23"/>
      </w:rPr>
    </w:lvl>
    <w:lvl w:ilvl="3" w:tplc="311C465E">
      <w:numFmt w:val="bullet"/>
      <w:lvlText w:val="•"/>
      <w:lvlJc w:val="left"/>
      <w:pPr>
        <w:ind w:left="2560" w:hanging="360"/>
      </w:pPr>
      <w:rPr>
        <w:rFonts w:hint="default"/>
      </w:rPr>
    </w:lvl>
    <w:lvl w:ilvl="4" w:tplc="FFECC248">
      <w:numFmt w:val="bullet"/>
      <w:lvlText w:val="•"/>
      <w:lvlJc w:val="left"/>
      <w:pPr>
        <w:ind w:left="3940" w:hanging="360"/>
      </w:pPr>
      <w:rPr>
        <w:rFonts w:hint="default"/>
      </w:rPr>
    </w:lvl>
    <w:lvl w:ilvl="5" w:tplc="C1300908">
      <w:numFmt w:val="bullet"/>
      <w:lvlText w:val="•"/>
      <w:lvlJc w:val="left"/>
      <w:pPr>
        <w:ind w:left="5320" w:hanging="360"/>
      </w:pPr>
      <w:rPr>
        <w:rFonts w:hint="default"/>
      </w:rPr>
    </w:lvl>
    <w:lvl w:ilvl="6" w:tplc="ECFAC26C">
      <w:numFmt w:val="bullet"/>
      <w:lvlText w:val="•"/>
      <w:lvlJc w:val="left"/>
      <w:pPr>
        <w:ind w:left="6700" w:hanging="360"/>
      </w:pPr>
      <w:rPr>
        <w:rFonts w:hint="default"/>
      </w:rPr>
    </w:lvl>
    <w:lvl w:ilvl="7" w:tplc="45265498">
      <w:numFmt w:val="bullet"/>
      <w:lvlText w:val="•"/>
      <w:lvlJc w:val="left"/>
      <w:pPr>
        <w:ind w:left="8080" w:hanging="360"/>
      </w:pPr>
      <w:rPr>
        <w:rFonts w:hint="default"/>
      </w:rPr>
    </w:lvl>
    <w:lvl w:ilvl="8" w:tplc="9E6AE282">
      <w:numFmt w:val="bullet"/>
      <w:lvlText w:val="•"/>
      <w:lvlJc w:val="left"/>
      <w:pPr>
        <w:ind w:left="9460" w:hanging="360"/>
      </w:pPr>
      <w:rPr>
        <w:rFonts w:hint="default"/>
      </w:rPr>
    </w:lvl>
  </w:abstractNum>
  <w:abstractNum w:abstractNumId="6" w15:restartNumberingAfterBreak="0">
    <w:nsid w:val="34195EC9"/>
    <w:multiLevelType w:val="hybridMultilevel"/>
    <w:tmpl w:val="4220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957DD2"/>
    <w:multiLevelType w:val="hybridMultilevel"/>
    <w:tmpl w:val="E4EE31B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8" w15:restartNumberingAfterBreak="0">
    <w:nsid w:val="39CD3AC1"/>
    <w:multiLevelType w:val="multilevel"/>
    <w:tmpl w:val="0409001D"/>
    <w:numStyleLink w:val="PISA-ListBullet"/>
  </w:abstractNum>
  <w:abstractNum w:abstractNumId="9" w15:restartNumberingAfterBreak="0">
    <w:nsid w:val="3A31226A"/>
    <w:multiLevelType w:val="hybridMultilevel"/>
    <w:tmpl w:val="DEE0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A07FA9"/>
    <w:multiLevelType w:val="hybridMultilevel"/>
    <w:tmpl w:val="9AD0BC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B0DF6"/>
    <w:multiLevelType w:val="hybridMultilevel"/>
    <w:tmpl w:val="517A3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000641"/>
    <w:multiLevelType w:val="hybridMultilevel"/>
    <w:tmpl w:val="3D487BA4"/>
    <w:lvl w:ilvl="0" w:tplc="247042C8">
      <w:start w:val="1"/>
      <w:numFmt w:val="bullet"/>
      <w:lvlText w:val=""/>
      <w:lvlJc w:val="left"/>
      <w:pPr>
        <w:ind w:left="360" w:hanging="360"/>
      </w:pPr>
      <w:rPr>
        <w:rFonts w:ascii="Symbol" w:hAnsi="Symbol" w:hint="default"/>
        <w:color w:val="803F9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0655DD5"/>
    <w:multiLevelType w:val="hybridMultilevel"/>
    <w:tmpl w:val="E4EE31B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4" w15:restartNumberingAfterBreak="0">
    <w:nsid w:val="65873721"/>
    <w:multiLevelType w:val="multilevel"/>
    <w:tmpl w:val="0409001D"/>
    <w:styleLink w:val="PISA-ListBullet"/>
    <w:lvl w:ilvl="0">
      <w:start w:val="1"/>
      <w:numFmt w:val="bullet"/>
      <w:pStyle w:val="PISA-ListBullet1"/>
      <w:lvlText w:val=""/>
      <w:lvlJc w:val="left"/>
      <w:pPr>
        <w:ind w:left="360" w:hanging="360"/>
      </w:pPr>
      <w:rPr>
        <w:rFonts w:ascii="Symbol" w:hAnsi="Symbol" w:hint="default"/>
      </w:rPr>
    </w:lvl>
    <w:lvl w:ilvl="1">
      <w:start w:val="1"/>
      <w:numFmt w:val="bullet"/>
      <w:pStyle w:val="PISA-ListBullet2"/>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292B67"/>
    <w:multiLevelType w:val="hybridMultilevel"/>
    <w:tmpl w:val="B17427F8"/>
    <w:lvl w:ilvl="0" w:tplc="AE8CB99C">
      <w:start w:val="1"/>
      <w:numFmt w:val="bullet"/>
      <w:lvlText w:val="­"/>
      <w:lvlJc w:val="left"/>
      <w:pPr>
        <w:ind w:left="833" w:hanging="360"/>
      </w:pPr>
      <w:rPr>
        <w:rFonts w:ascii="Courier New" w:hAnsi="Courier New"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76F4361C"/>
    <w:multiLevelType w:val="hybridMultilevel"/>
    <w:tmpl w:val="2AC04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3"/>
  </w:num>
  <w:num w:numId="3">
    <w:abstractNumId w:val="14"/>
  </w:num>
  <w:num w:numId="4">
    <w:abstractNumId w:val="8"/>
  </w:num>
  <w:num w:numId="5">
    <w:abstractNumId w:val="9"/>
  </w:num>
  <w:num w:numId="6">
    <w:abstractNumId w:val="4"/>
  </w:num>
  <w:num w:numId="7">
    <w:abstractNumId w:val="11"/>
  </w:num>
  <w:num w:numId="8">
    <w:abstractNumId w:val="15"/>
  </w:num>
  <w:num w:numId="9">
    <w:abstractNumId w:val="2"/>
  </w:num>
  <w:num w:numId="10">
    <w:abstractNumId w:val="2"/>
  </w:num>
  <w:num w:numId="11">
    <w:abstractNumId w:val="7"/>
  </w:num>
  <w:num w:numId="12">
    <w:abstractNumId w:val="0"/>
  </w:num>
  <w:num w:numId="13">
    <w:abstractNumId w:val="1"/>
  </w:num>
  <w:num w:numId="14">
    <w:abstractNumId w:val="12"/>
  </w:num>
  <w:num w:numId="15">
    <w:abstractNumId w:val="3"/>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6"/>
  </w:num>
  <w:num w:numId="23">
    <w:abstractNumId w:val="2"/>
  </w:num>
  <w:num w:numId="24">
    <w:abstractNumId w:val="10"/>
  </w:num>
  <w:num w:numId="25">
    <w:abstractNumId w:val="2"/>
  </w:num>
  <w:num w:numId="26">
    <w:abstractNumId w:val="2"/>
  </w:num>
  <w:num w:numId="27">
    <w:abstractNumId w:val="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95"/>
    <w:rsid w:val="00012A1B"/>
    <w:rsid w:val="0001461A"/>
    <w:rsid w:val="0003624E"/>
    <w:rsid w:val="0004640E"/>
    <w:rsid w:val="00064ECD"/>
    <w:rsid w:val="00077953"/>
    <w:rsid w:val="00094025"/>
    <w:rsid w:val="000E0B23"/>
    <w:rsid w:val="001444FF"/>
    <w:rsid w:val="00251783"/>
    <w:rsid w:val="00297D95"/>
    <w:rsid w:val="002D1039"/>
    <w:rsid w:val="00302D56"/>
    <w:rsid w:val="00332808"/>
    <w:rsid w:val="003446D6"/>
    <w:rsid w:val="0037074E"/>
    <w:rsid w:val="00376272"/>
    <w:rsid w:val="003D561A"/>
    <w:rsid w:val="003D7B73"/>
    <w:rsid w:val="0047598C"/>
    <w:rsid w:val="004C1FF6"/>
    <w:rsid w:val="004E1482"/>
    <w:rsid w:val="004F35B7"/>
    <w:rsid w:val="005519A9"/>
    <w:rsid w:val="005520C6"/>
    <w:rsid w:val="0057005B"/>
    <w:rsid w:val="005C31EE"/>
    <w:rsid w:val="00635110"/>
    <w:rsid w:val="00694429"/>
    <w:rsid w:val="00697DF1"/>
    <w:rsid w:val="006A79CC"/>
    <w:rsid w:val="00796D1F"/>
    <w:rsid w:val="007A4500"/>
    <w:rsid w:val="007F3925"/>
    <w:rsid w:val="00835367"/>
    <w:rsid w:val="00857A98"/>
    <w:rsid w:val="008D2EDA"/>
    <w:rsid w:val="00914CCF"/>
    <w:rsid w:val="00A82039"/>
    <w:rsid w:val="00A94AC8"/>
    <w:rsid w:val="00AC46C2"/>
    <w:rsid w:val="00AE04E2"/>
    <w:rsid w:val="00B01756"/>
    <w:rsid w:val="00B506BE"/>
    <w:rsid w:val="00B9330C"/>
    <w:rsid w:val="00B9520E"/>
    <w:rsid w:val="00BA5908"/>
    <w:rsid w:val="00C00A8F"/>
    <w:rsid w:val="00C15DC5"/>
    <w:rsid w:val="00C679AE"/>
    <w:rsid w:val="00C718E7"/>
    <w:rsid w:val="00C83662"/>
    <w:rsid w:val="00D37105"/>
    <w:rsid w:val="00DC5464"/>
    <w:rsid w:val="00DF4CA2"/>
    <w:rsid w:val="00E06B4B"/>
    <w:rsid w:val="00E458DF"/>
    <w:rsid w:val="00E724CD"/>
    <w:rsid w:val="00E9244B"/>
    <w:rsid w:val="00E92658"/>
    <w:rsid w:val="00EC0263"/>
    <w:rsid w:val="00EC3D84"/>
    <w:rsid w:val="00EC6621"/>
    <w:rsid w:val="00EE1582"/>
    <w:rsid w:val="00F24A06"/>
    <w:rsid w:val="00F740C8"/>
    <w:rsid w:val="00FB1DFE"/>
    <w:rsid w:val="00FE1E73"/>
    <w:rsid w:val="00FF213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27D7EE"/>
  <w15:chartTrackingRefBased/>
  <w15:docId w15:val="{17530A4E-015F-446D-BC07-2767CAE8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7D95"/>
    <w:pPr>
      <w:widowControl w:val="0"/>
      <w:autoSpaceDE w:val="0"/>
      <w:autoSpaceDN w:val="0"/>
      <w:spacing w:before="120" w:after="240" w:line="240" w:lineRule="auto"/>
    </w:pPr>
    <w:rPr>
      <w:rFonts w:ascii="Calibri" w:eastAsia="Calibri" w:hAnsi="Calibri" w:cs="Calibri"/>
      <w:lang w:val="en-US"/>
    </w:rPr>
  </w:style>
  <w:style w:type="paragraph" w:styleId="Heading1">
    <w:name w:val="heading 1"/>
    <w:link w:val="Heading1Char"/>
    <w:uiPriority w:val="1"/>
    <w:qFormat/>
    <w:rsid w:val="00C679AE"/>
    <w:pPr>
      <w:keepNext/>
      <w:tabs>
        <w:tab w:val="left" w:pos="993"/>
        <w:tab w:val="left" w:pos="1843"/>
      </w:tabs>
      <w:autoSpaceDE w:val="0"/>
      <w:autoSpaceDN w:val="0"/>
      <w:spacing w:before="360" w:after="240" w:line="240" w:lineRule="auto"/>
      <w:outlineLvl w:val="0"/>
    </w:pPr>
    <w:rPr>
      <w:rFonts w:ascii="Arial Rounded MT Bold" w:eastAsia="Calibri" w:hAnsi="Calibri" w:cs="Calibri"/>
      <w:color w:val="803E91"/>
      <w:sz w:val="36"/>
      <w:lang w:val="en-US"/>
    </w:rPr>
  </w:style>
  <w:style w:type="paragraph" w:styleId="Heading2">
    <w:name w:val="heading 2"/>
    <w:link w:val="Heading2Char"/>
    <w:uiPriority w:val="1"/>
    <w:qFormat/>
    <w:rsid w:val="00E458DF"/>
    <w:pPr>
      <w:keepNext/>
      <w:tabs>
        <w:tab w:val="left" w:pos="993"/>
      </w:tabs>
      <w:autoSpaceDE w:val="0"/>
      <w:autoSpaceDN w:val="0"/>
      <w:spacing w:before="240" w:after="240" w:line="240" w:lineRule="auto"/>
      <w:outlineLvl w:val="1"/>
    </w:pPr>
    <w:rPr>
      <w:rFonts w:ascii="Arial Rounded MT Bold" w:eastAsia="Calibri" w:hAnsi="Calibri" w:cs="Calibri"/>
      <w:color w:val="B43D8F"/>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Question wording"/>
    <w:basedOn w:val="Normal"/>
    <w:link w:val="ListParagraphChar"/>
    <w:uiPriority w:val="34"/>
    <w:qFormat/>
    <w:rsid w:val="00297D95"/>
    <w:pPr>
      <w:numPr>
        <w:ilvl w:val="1"/>
        <w:numId w:val="1"/>
      </w:numPr>
      <w:tabs>
        <w:tab w:val="left" w:pos="818"/>
        <w:tab w:val="left" w:pos="819"/>
      </w:tabs>
      <w:spacing w:after="120"/>
    </w:pPr>
    <w:rPr>
      <w:sz w:val="23"/>
    </w:rPr>
  </w:style>
  <w:style w:type="paragraph" w:customStyle="1" w:styleId="NumberedBody">
    <w:name w:val="Numbered Body"/>
    <w:basedOn w:val="ListParagraph"/>
    <w:uiPriority w:val="1"/>
    <w:qFormat/>
    <w:rsid w:val="00297D95"/>
    <w:pPr>
      <w:numPr>
        <w:ilvl w:val="0"/>
      </w:numPr>
      <w:tabs>
        <w:tab w:val="num" w:pos="360"/>
        <w:tab w:val="left" w:pos="459"/>
      </w:tabs>
      <w:spacing w:before="1"/>
      <w:ind w:left="818" w:hanging="357"/>
    </w:pPr>
  </w:style>
  <w:style w:type="paragraph" w:customStyle="1" w:styleId="sublistbullet">
    <w:name w:val="*sub list bullet"/>
    <w:basedOn w:val="ListParagraph"/>
    <w:uiPriority w:val="1"/>
    <w:qFormat/>
    <w:rsid w:val="00DC5464"/>
    <w:pPr>
      <w:numPr>
        <w:ilvl w:val="2"/>
        <w:numId w:val="27"/>
      </w:numPr>
    </w:pPr>
    <w:rPr>
      <w:sz w:val="21"/>
      <w:szCs w:val="21"/>
    </w:rPr>
  </w:style>
  <w:style w:type="character" w:customStyle="1" w:styleId="ListParagraphChar">
    <w:name w:val="List Paragraph Char"/>
    <w:aliases w:val="List Paragraph (numbered (a)) Char,Question wording Char"/>
    <w:basedOn w:val="DefaultParagraphFont"/>
    <w:link w:val="ListParagraph"/>
    <w:uiPriority w:val="34"/>
    <w:rsid w:val="00297D95"/>
    <w:rPr>
      <w:rFonts w:ascii="Calibri" w:eastAsia="Calibri" w:hAnsi="Calibri" w:cs="Calibri"/>
      <w:sz w:val="23"/>
      <w:lang w:val="en-US"/>
    </w:rPr>
  </w:style>
  <w:style w:type="table" w:styleId="TableGrid">
    <w:name w:val="Table Grid"/>
    <w:basedOn w:val="TableNormal"/>
    <w:uiPriority w:val="39"/>
    <w:rsid w:val="00297D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qFormat/>
    <w:rsid w:val="00297D95"/>
    <w:pPr>
      <w:keepNext/>
      <w:spacing w:before="240" w:after="0" w:line="240" w:lineRule="auto"/>
    </w:pPr>
    <w:rPr>
      <w:rFonts w:cs="Times New Roman"/>
      <w:b/>
      <w:bCs/>
      <w:color w:val="803F91"/>
      <w:szCs w:val="20"/>
      <w:lang w:val="en-US" w:eastAsia="zh-CN"/>
    </w:rPr>
  </w:style>
  <w:style w:type="paragraph" w:customStyle="1" w:styleId="PISA-BodyTextNot-Numbered">
    <w:name w:val="PISA-Body Text Not-Numbered"/>
    <w:basedOn w:val="Normal"/>
    <w:qFormat/>
    <w:rsid w:val="00297D95"/>
    <w:pPr>
      <w:widowControl/>
      <w:tabs>
        <w:tab w:val="left" w:pos="720"/>
      </w:tabs>
      <w:autoSpaceDE/>
      <w:autoSpaceDN/>
      <w:spacing w:before="0" w:line="259" w:lineRule="auto"/>
    </w:pPr>
    <w:rPr>
      <w:rFonts w:ascii="Arial" w:eastAsiaTheme="minorHAnsi" w:hAnsi="Arial" w:cstheme="minorBidi"/>
    </w:rPr>
  </w:style>
  <w:style w:type="numbering" w:customStyle="1" w:styleId="PISA-ListBullet">
    <w:name w:val="PISA-List Bullet"/>
    <w:uiPriority w:val="99"/>
    <w:rsid w:val="00297D95"/>
    <w:pPr>
      <w:numPr>
        <w:numId w:val="3"/>
      </w:numPr>
    </w:pPr>
  </w:style>
  <w:style w:type="paragraph" w:customStyle="1" w:styleId="PISA-ListBullet1">
    <w:name w:val="PISA-ListBullet 1"/>
    <w:basedOn w:val="PISA-BodyTextNot-Numbered"/>
    <w:qFormat/>
    <w:rsid w:val="00297D95"/>
    <w:pPr>
      <w:numPr>
        <w:numId w:val="4"/>
      </w:numPr>
    </w:pPr>
  </w:style>
  <w:style w:type="paragraph" w:customStyle="1" w:styleId="PISA-ListBullet2">
    <w:name w:val="PISA-ListBullet 2"/>
    <w:basedOn w:val="PISA-BodyTextNot-Numbered"/>
    <w:qFormat/>
    <w:rsid w:val="00297D95"/>
    <w:pPr>
      <w:numPr>
        <w:ilvl w:val="1"/>
        <w:numId w:val="4"/>
      </w:numPr>
    </w:pPr>
  </w:style>
  <w:style w:type="paragraph" w:customStyle="1" w:styleId="PISA-TableColumnTitle">
    <w:name w:val="PISA-Table Column Title"/>
    <w:basedOn w:val="Normal"/>
    <w:qFormat/>
    <w:rsid w:val="00297D95"/>
    <w:pPr>
      <w:widowControl/>
      <w:autoSpaceDE/>
      <w:autoSpaceDN/>
      <w:spacing w:before="0"/>
      <w:jc w:val="center"/>
    </w:pPr>
    <w:rPr>
      <w:rFonts w:ascii="Arial" w:eastAsiaTheme="minorHAnsi" w:hAnsi="Arial" w:cstheme="minorBidi"/>
      <w:b/>
      <w:sz w:val="20"/>
      <w:szCs w:val="20"/>
    </w:rPr>
  </w:style>
  <w:style w:type="paragraph" w:customStyle="1" w:styleId="PISA-TableText">
    <w:name w:val="PISA-Table Text"/>
    <w:basedOn w:val="PISA-ListBullet1"/>
    <w:qFormat/>
    <w:rsid w:val="00297D95"/>
    <w:pPr>
      <w:numPr>
        <w:numId w:val="0"/>
      </w:numPr>
      <w:spacing w:line="240" w:lineRule="auto"/>
    </w:pPr>
    <w:rPr>
      <w:sz w:val="20"/>
      <w:szCs w:val="20"/>
    </w:rPr>
  </w:style>
  <w:style w:type="paragraph" w:customStyle="1" w:styleId="PISA-TableTitle">
    <w:name w:val="PISA-Table Title"/>
    <w:basedOn w:val="PISA-ListBullet1"/>
    <w:qFormat/>
    <w:rsid w:val="00297D95"/>
    <w:pPr>
      <w:numPr>
        <w:numId w:val="0"/>
      </w:numPr>
      <w:spacing w:before="240" w:after="120"/>
      <w:ind w:left="360" w:hanging="360"/>
    </w:pPr>
    <w:rPr>
      <w:b/>
    </w:rPr>
  </w:style>
  <w:style w:type="paragraph" w:customStyle="1" w:styleId="listbullet">
    <w:name w:val="*list bullet"/>
    <w:basedOn w:val="Normal"/>
    <w:link w:val="listbulletChar"/>
    <w:qFormat/>
    <w:rsid w:val="00EC6621"/>
    <w:pPr>
      <w:widowControl/>
      <w:numPr>
        <w:numId w:val="12"/>
      </w:numPr>
      <w:autoSpaceDE/>
      <w:autoSpaceDN/>
      <w:spacing w:before="0" w:after="120"/>
    </w:pPr>
    <w:rPr>
      <w:rFonts w:asciiTheme="minorHAnsi" w:eastAsiaTheme="minorEastAsia" w:hAnsiTheme="minorHAnsi" w:cs="Times New Roman"/>
      <w:lang w:eastAsia="ja-JP"/>
    </w:rPr>
  </w:style>
  <w:style w:type="character" w:customStyle="1" w:styleId="listbulletChar">
    <w:name w:val="*list bullet Char"/>
    <w:basedOn w:val="DefaultParagraphFont"/>
    <w:link w:val="listbullet"/>
    <w:rsid w:val="00EC6621"/>
    <w:rPr>
      <w:rFonts w:eastAsiaTheme="minorEastAsia" w:cs="Times New Roman"/>
      <w:lang w:val="en-US" w:eastAsia="ja-JP"/>
    </w:rPr>
  </w:style>
  <w:style w:type="paragraph" w:styleId="FootnoteText">
    <w:name w:val="footnote text"/>
    <w:basedOn w:val="Normal"/>
    <w:link w:val="FootnoteTextChar"/>
    <w:uiPriority w:val="99"/>
    <w:semiHidden/>
    <w:unhideWhenUsed/>
    <w:rsid w:val="00EC6621"/>
    <w:pPr>
      <w:spacing w:before="0" w:after="0"/>
    </w:pPr>
    <w:rPr>
      <w:sz w:val="20"/>
      <w:szCs w:val="20"/>
    </w:rPr>
  </w:style>
  <w:style w:type="character" w:customStyle="1" w:styleId="FootnoteTextChar">
    <w:name w:val="Footnote Text Char"/>
    <w:basedOn w:val="DefaultParagraphFont"/>
    <w:link w:val="FootnoteText"/>
    <w:uiPriority w:val="99"/>
    <w:semiHidden/>
    <w:rsid w:val="00EC6621"/>
    <w:rPr>
      <w:rFonts w:ascii="Calibri" w:eastAsia="Calibri" w:hAnsi="Calibri" w:cs="Calibri"/>
      <w:sz w:val="20"/>
      <w:szCs w:val="20"/>
      <w:lang w:val="en-US"/>
    </w:rPr>
  </w:style>
  <w:style w:type="character" w:styleId="FootnoteReference">
    <w:name w:val="footnote reference"/>
    <w:aliases w:val="ftref,16 Point,Superscript 6 Point,BVI fnr,BVI fnr Car Car,BVI fnr Car,BVI fnr Car Car Car Car,BVI fnr Car Car Car Car Char,BVI fnr Char,BVI fnr Car Car Char,BVI fnr Car Char,BVI fnr Car Car Car Car Char Ch,fr,Знак сноски 1,Ref,10 pt"/>
    <w:basedOn w:val="DefaultParagraphFont"/>
    <w:link w:val="Char2"/>
    <w:unhideWhenUsed/>
    <w:qFormat/>
    <w:rsid w:val="00EC6621"/>
    <w:rPr>
      <w:vertAlign w:val="superscript"/>
    </w:rPr>
  </w:style>
  <w:style w:type="table" w:customStyle="1" w:styleId="TableGrid1">
    <w:name w:val="Table Grid1"/>
    <w:basedOn w:val="TableNormal"/>
    <w:next w:val="TableGrid"/>
    <w:uiPriority w:val="59"/>
    <w:rsid w:val="00EC662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C6621"/>
    <w:pPr>
      <w:widowControl/>
      <w:autoSpaceDE/>
      <w:autoSpaceDN/>
      <w:spacing w:before="0" w:after="160" w:line="240" w:lineRule="exact"/>
    </w:pPr>
    <w:rPr>
      <w:rFonts w:asciiTheme="minorHAnsi" w:eastAsiaTheme="minorHAnsi" w:hAnsiTheme="minorHAnsi" w:cstheme="minorBidi"/>
      <w:vertAlign w:val="superscript"/>
      <w:lang w:val="en-AU"/>
    </w:rPr>
  </w:style>
  <w:style w:type="character" w:styleId="CommentReference">
    <w:name w:val="annotation reference"/>
    <w:basedOn w:val="DefaultParagraphFont"/>
    <w:uiPriority w:val="99"/>
    <w:semiHidden/>
    <w:unhideWhenUsed/>
    <w:rsid w:val="00E9244B"/>
    <w:rPr>
      <w:sz w:val="16"/>
      <w:szCs w:val="16"/>
    </w:rPr>
  </w:style>
  <w:style w:type="paragraph" w:styleId="CommentText">
    <w:name w:val="annotation text"/>
    <w:basedOn w:val="Normal"/>
    <w:link w:val="CommentTextChar"/>
    <w:uiPriority w:val="99"/>
    <w:semiHidden/>
    <w:unhideWhenUsed/>
    <w:rsid w:val="00E9244B"/>
    <w:rPr>
      <w:sz w:val="20"/>
      <w:szCs w:val="20"/>
    </w:rPr>
  </w:style>
  <w:style w:type="character" w:customStyle="1" w:styleId="CommentTextChar">
    <w:name w:val="Comment Text Char"/>
    <w:basedOn w:val="DefaultParagraphFont"/>
    <w:link w:val="CommentText"/>
    <w:uiPriority w:val="99"/>
    <w:semiHidden/>
    <w:rsid w:val="00E9244B"/>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E9244B"/>
    <w:rPr>
      <w:b/>
      <w:bCs/>
    </w:rPr>
  </w:style>
  <w:style w:type="character" w:customStyle="1" w:styleId="CommentSubjectChar">
    <w:name w:val="Comment Subject Char"/>
    <w:basedOn w:val="CommentTextChar"/>
    <w:link w:val="CommentSubject"/>
    <w:uiPriority w:val="99"/>
    <w:semiHidden/>
    <w:rsid w:val="00E9244B"/>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E9244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44B"/>
    <w:rPr>
      <w:rFonts w:ascii="Segoe UI" w:eastAsia="Calibri" w:hAnsi="Segoe UI" w:cs="Segoe UI"/>
      <w:sz w:val="18"/>
      <w:szCs w:val="18"/>
      <w:lang w:val="en-US"/>
    </w:rPr>
  </w:style>
  <w:style w:type="character" w:customStyle="1" w:styleId="Heading1Char">
    <w:name w:val="Heading 1 Char"/>
    <w:basedOn w:val="DefaultParagraphFont"/>
    <w:link w:val="Heading1"/>
    <w:uiPriority w:val="1"/>
    <w:rsid w:val="00C679AE"/>
    <w:rPr>
      <w:rFonts w:ascii="Arial Rounded MT Bold" w:eastAsia="Calibri" w:hAnsi="Calibri" w:cs="Calibri"/>
      <w:color w:val="803E91"/>
      <w:sz w:val="36"/>
      <w:lang w:val="en-US"/>
    </w:rPr>
  </w:style>
  <w:style w:type="character" w:customStyle="1" w:styleId="Heading2Char">
    <w:name w:val="Heading 2 Char"/>
    <w:basedOn w:val="DefaultParagraphFont"/>
    <w:link w:val="Heading2"/>
    <w:uiPriority w:val="1"/>
    <w:rsid w:val="00E458DF"/>
    <w:rPr>
      <w:rFonts w:ascii="Arial Rounded MT Bold" w:eastAsia="Calibri" w:hAnsi="Calibri" w:cs="Calibri"/>
      <w:color w:val="B43D8F"/>
      <w:sz w:val="32"/>
      <w:lang w:val="en-US"/>
    </w:rPr>
  </w:style>
  <w:style w:type="paragraph" w:customStyle="1" w:styleId="bodyfullout">
    <w:name w:val="*body full out"/>
    <w:basedOn w:val="Normal"/>
    <w:link w:val="bodyfulloutChar"/>
    <w:qFormat/>
    <w:rsid w:val="00E458DF"/>
    <w:pPr>
      <w:widowControl/>
      <w:autoSpaceDE/>
      <w:autoSpaceDN/>
      <w:spacing w:before="80" w:after="80"/>
      <w:ind w:left="-45"/>
    </w:pPr>
    <w:rPr>
      <w:rFonts w:asciiTheme="minorHAnsi" w:eastAsiaTheme="minorEastAsia" w:hAnsiTheme="minorHAnsi" w:cstheme="minorBidi"/>
      <w:sz w:val="20"/>
      <w:szCs w:val="23"/>
      <w:lang w:val="en-AU" w:eastAsia="ja-JP"/>
    </w:rPr>
  </w:style>
  <w:style w:type="character" w:customStyle="1" w:styleId="bodyfulloutChar">
    <w:name w:val="*body full out Char"/>
    <w:basedOn w:val="DefaultParagraphFont"/>
    <w:link w:val="bodyfullout"/>
    <w:rsid w:val="00E458DF"/>
    <w:rPr>
      <w:rFonts w:eastAsiaTheme="minorEastAsia"/>
      <w:sz w:val="20"/>
      <w:szCs w:val="23"/>
      <w:lang w:eastAsia="ja-JP"/>
    </w:rPr>
  </w:style>
  <w:style w:type="paragraph" w:styleId="Header">
    <w:name w:val="header"/>
    <w:basedOn w:val="Normal"/>
    <w:link w:val="HeaderChar"/>
    <w:uiPriority w:val="99"/>
    <w:unhideWhenUsed/>
    <w:rsid w:val="00DF4CA2"/>
    <w:pPr>
      <w:tabs>
        <w:tab w:val="center" w:pos="4513"/>
        <w:tab w:val="right" w:pos="9026"/>
      </w:tabs>
      <w:spacing w:before="0" w:after="0"/>
    </w:pPr>
  </w:style>
  <w:style w:type="character" w:customStyle="1" w:styleId="HeaderChar">
    <w:name w:val="Header Char"/>
    <w:basedOn w:val="DefaultParagraphFont"/>
    <w:link w:val="Header"/>
    <w:uiPriority w:val="99"/>
    <w:rsid w:val="00DF4CA2"/>
    <w:rPr>
      <w:rFonts w:ascii="Calibri" w:eastAsia="Calibri" w:hAnsi="Calibri" w:cs="Calibri"/>
      <w:lang w:val="en-US"/>
    </w:rPr>
  </w:style>
  <w:style w:type="paragraph" w:styleId="Footer">
    <w:name w:val="footer"/>
    <w:basedOn w:val="Normal"/>
    <w:link w:val="FooterChar"/>
    <w:uiPriority w:val="99"/>
    <w:unhideWhenUsed/>
    <w:rsid w:val="00DF4CA2"/>
    <w:pPr>
      <w:tabs>
        <w:tab w:val="center" w:pos="4513"/>
        <w:tab w:val="right" w:pos="9026"/>
      </w:tabs>
      <w:spacing w:before="0" w:after="0"/>
    </w:pPr>
  </w:style>
  <w:style w:type="character" w:customStyle="1" w:styleId="FooterChar">
    <w:name w:val="Footer Char"/>
    <w:basedOn w:val="DefaultParagraphFont"/>
    <w:link w:val="Footer"/>
    <w:uiPriority w:val="99"/>
    <w:rsid w:val="00DF4CA2"/>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7EF96F20A7F4EA6ABB1B3759EC605" ma:contentTypeVersion="13" ma:contentTypeDescription="Create a new document." ma:contentTypeScope="" ma:versionID="66b9efe11fe62a40d612c812d11faa6a">
  <xsd:schema xmlns:xsd="http://www.w3.org/2001/XMLSchema" xmlns:xs="http://www.w3.org/2001/XMLSchema" xmlns:p="http://schemas.microsoft.com/office/2006/metadata/properties" xmlns:ns2="e75a9ecc-2866-4a0d-9585-52d9157563db" xmlns:ns3="a7db5255-73a5-4cb0-b494-1685d94d2d4e" targetNamespace="http://schemas.microsoft.com/office/2006/metadata/properties" ma:root="true" ma:fieldsID="756ff98304808a3772a85e3f914c9870" ns2:_="" ns3:_="">
    <xsd:import namespace="e75a9ecc-2866-4a0d-9585-52d9157563db"/>
    <xsd:import namespace="a7db5255-73a5-4cb0-b494-1685d94d2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DateTaken" minOccurs="0"/>
                <xsd:element ref="ns2:MediaServiceLocation" minOccurs="0"/>
                <xsd:element ref="ns2:Count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9ecc-2866-4a0d-9585-52d915756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Country" ma:index="18" nillable="true" ma:displayName="Country" ma:format="Dropdown" ma:internalName="Countr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b5255-73a5-4cb0-b494-1685d94d2d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e75a9ecc-2866-4a0d-9585-52d9157563db" xsi:nil="true"/>
  </documentManagement>
</p:properties>
</file>

<file path=customXml/itemProps1.xml><?xml version="1.0" encoding="utf-8"?>
<ds:datastoreItem xmlns:ds="http://schemas.openxmlformats.org/officeDocument/2006/customXml" ds:itemID="{7CB10BA5-B14C-472A-A19E-7D3AE32A5AB4}"/>
</file>

<file path=customXml/itemProps2.xml><?xml version="1.0" encoding="utf-8"?>
<ds:datastoreItem xmlns:ds="http://schemas.openxmlformats.org/officeDocument/2006/customXml" ds:itemID="{2EEFF3FE-C251-4A8B-8026-778B063C5B9E}"/>
</file>

<file path=customXml/itemProps3.xml><?xml version="1.0" encoding="utf-8"?>
<ds:datastoreItem xmlns:ds="http://schemas.openxmlformats.org/officeDocument/2006/customXml" ds:itemID="{54C7CF7E-7871-47D9-A97A-85AF28B67596}"/>
</file>

<file path=docProps/app.xml><?xml version="1.0" encoding="utf-8"?>
<Properties xmlns="http://schemas.openxmlformats.org/officeDocument/2006/extended-properties" xmlns:vt="http://schemas.openxmlformats.org/officeDocument/2006/docPropsVTypes">
  <Template>Normal.dotm</Template>
  <TotalTime>1</TotalTime>
  <Pages>5</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Projector</dc:creator>
  <cp:keywords/>
  <dc:description/>
  <cp:lastModifiedBy>Schwantner, Ursula</cp:lastModifiedBy>
  <cp:revision>3</cp:revision>
  <cp:lastPrinted>2019-09-06T03:32:00Z</cp:lastPrinted>
  <dcterms:created xsi:type="dcterms:W3CDTF">2019-09-22T05:55:00Z</dcterms:created>
  <dcterms:modified xsi:type="dcterms:W3CDTF">2019-09-22T05:55:00Z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0x010100E377EF96F20A7F4EA6ABB1B3759EC605</vt:lpwstr>
  </property>
</Properties>
</file>